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95" w:rsidRPr="00D47495" w:rsidRDefault="00D47495" w:rsidP="00D47495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D4749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Критерии оценки участников конкурса</w:t>
      </w:r>
    </w:p>
    <w:p w:rsidR="00D47495" w:rsidRPr="000B7105" w:rsidRDefault="00D47495" w:rsidP="00D4749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B7105">
        <w:rPr>
          <w:rFonts w:ascii="Times New Roman" w:hAnsi="Times New Roman" w:cs="Times New Roman"/>
          <w:color w:val="000000"/>
          <w:spacing w:val="2"/>
          <w:sz w:val="24"/>
          <w:szCs w:val="24"/>
        </w:rPr>
        <w:t>Критериями оценки объектов, заявленных участниками конкурса, являются:</w:t>
      </w:r>
      <w:r w:rsidRPr="000B7105">
        <w:rPr>
          <w:rFonts w:ascii="Arial" w:hAnsi="Arial" w:cs="Arial"/>
          <w:color w:val="000000"/>
          <w:spacing w:val="2"/>
          <w:sz w:val="21"/>
          <w:szCs w:val="21"/>
        </w:rPr>
        <w:br/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4504"/>
        <w:gridCol w:w="3451"/>
      </w:tblGrid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12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</w:t>
            </w:r>
          </w:p>
        </w:tc>
        <w:tc>
          <w:tcPr>
            <w:tcW w:w="4504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оценки заявленных объектов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каждому критерию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212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«</w:t>
            </w:r>
            <w:bookmarkStart w:id="0" w:name="_GoBack"/>
            <w:bookmarkEnd w:id="0"/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Зимнее вдохновение» - лучшее </w:t>
            </w:r>
            <w:r w:rsidRPr="00CF65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внутреннее и 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наружное художественное и световое оформление фасада, входной группы, окон, прилегающей территории зданий предприятий, 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организаций всех форм собственности, индивидуальных предпринимателей, государственных и муниципальных учреждений 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(кроме  учреждений образования и культуры), 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осуществляющих свою деятельность на территории </w:t>
            </w:r>
            <w:proofErr w:type="spellStart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Удомельского</w:t>
            </w:r>
            <w:proofErr w:type="spellEnd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</w:t>
            </w:r>
          </w:p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proofErr w:type="gramStart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сюжетное</w:t>
            </w:r>
            <w:proofErr w:type="gramEnd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оформления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963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художественная и эстетическая зрелищность оформления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1.3.комплексное световое оформление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– от 1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наличие и красочное оформление новогодней ели (сосны)</w:t>
            </w:r>
          </w:p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1.5.использование в оформлении символа года по восточному календарю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2212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«Чудесный двор» - лучшее оформление дворовой территории частного дома</w:t>
            </w:r>
          </w:p>
        </w:tc>
        <w:tc>
          <w:tcPr>
            <w:tcW w:w="4504" w:type="dxa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2.1.комплексное художественное оформление дворовой территории новогодними атрибутами и символикой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2.2.использование световых элементов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– от 1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2.3.наличие и красочное оформление новогодней ели (сосны)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212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«Сказка входит в каждый дом» - лучшее оформление фасада, подъезда, дворовой 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территории жилого многоквартирного дома</w:t>
            </w:r>
          </w:p>
        </w:tc>
        <w:tc>
          <w:tcPr>
            <w:tcW w:w="4504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 </w:t>
            </w:r>
            <w:proofErr w:type="gramStart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сюжетное</w:t>
            </w:r>
            <w:proofErr w:type="gramEnd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оформления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художественная и эстетическая зрелищность оформления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3.3.использование </w:t>
            </w:r>
            <w:proofErr w:type="gramStart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декоративных</w:t>
            </w:r>
            <w:proofErr w:type="gramEnd"/>
          </w:p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световых систем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– от 1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 наличие и красочное оформление новогодней ели (сосны)</w:t>
            </w:r>
          </w:p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3.5.использование в оформлении символа года по восточному календарю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2212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«Новый год в моем окне» - лучшее новогоднее оформление окон, балконов (лоджий) квартир многоквартирного дома</w:t>
            </w:r>
          </w:p>
        </w:tc>
        <w:tc>
          <w:tcPr>
            <w:tcW w:w="4504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оригинальность художественного оформления, композиционная целостность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4.2.наличие декоративной подсветки</w:t>
            </w:r>
            <w:r w:rsidRPr="000B7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– от 1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 использование в оформлении символа года по восточному календарю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 масштаб выполненной работы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212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«</w:t>
            </w:r>
            <w:r w:rsidRPr="00084F2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Лучшее новогоднее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оформление объектов образования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» - лучшее художественное и световое оформление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 художественная и эстетическая зрелищность оформления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–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 наличие декоративной подсветки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– от 1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 использование в оформлении символа года по восточному календарю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 внешний вид персонала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спецодежды с использованием новогодней  и рождественской тематики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5.5. праздничное поздравление жителям, гостям </w:t>
            </w:r>
            <w:proofErr w:type="spellStart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Удомельского</w:t>
            </w:r>
            <w:proofErr w:type="spellEnd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212" w:type="dxa"/>
            <w:vMerge w:val="restart"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084F2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«Лучшее новогоднее оформление объектов культуры»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r w:rsidRPr="000B71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лучшее художественное и световое оформление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 художественная и эстетическая зрелищность оформления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–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 наличие декоративной подсветки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– от 1 до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 использование в оформлении символа года по восточному календарю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 внешний вид персонала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спецодежды с использованием новогодней  и рождественской тематики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 w:val="restart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.5. праздничное поздравление жителям, гостям </w:t>
            </w:r>
            <w:proofErr w:type="spellStart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Удомельского</w:t>
            </w:r>
            <w:proofErr w:type="spellEnd"/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- 5</w:t>
            </w:r>
          </w:p>
        </w:tc>
      </w:tr>
      <w:tr w:rsidR="00D47495" w:rsidRPr="000B7105" w:rsidTr="00D47495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212" w:type="dxa"/>
            <w:vMerge/>
          </w:tcPr>
          <w:p w:rsidR="00D47495" w:rsidRPr="000B7105" w:rsidRDefault="00D47495" w:rsidP="00252F28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D47495" w:rsidRPr="000B7105" w:rsidRDefault="00D47495" w:rsidP="0025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</w:t>
            </w:r>
          </w:p>
        </w:tc>
      </w:tr>
    </w:tbl>
    <w:p w:rsidR="00D47495" w:rsidRDefault="00D47495" w:rsidP="00D47495">
      <w:pPr>
        <w:shd w:val="clear" w:color="auto" w:fill="FFFFFF"/>
        <w:spacing w:before="375"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B23BAB" w:rsidRDefault="00B23BAB" w:rsidP="00D47495">
      <w:pPr>
        <w:jc w:val="both"/>
      </w:pPr>
    </w:p>
    <w:sectPr w:rsidR="00B2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95"/>
    <w:rsid w:val="00B23BAB"/>
    <w:rsid w:val="00D4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9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D47495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9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D47495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Е. Мазанова</dc:creator>
  <cp:lastModifiedBy>Елена Е. Мазанова</cp:lastModifiedBy>
  <cp:revision>1</cp:revision>
  <dcterms:created xsi:type="dcterms:W3CDTF">2021-11-30T10:19:00Z</dcterms:created>
  <dcterms:modified xsi:type="dcterms:W3CDTF">2021-11-30T10:20:00Z</dcterms:modified>
</cp:coreProperties>
</file>