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70" w:rsidRPr="005D6BFC" w:rsidRDefault="00386150" w:rsidP="00A05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A05070" w:rsidRPr="005D6BFC">
        <w:rPr>
          <w:rFonts w:ascii="Times New Roman" w:hAnsi="Times New Roman" w:cs="Times New Roman"/>
          <w:sz w:val="32"/>
          <w:szCs w:val="32"/>
        </w:rPr>
        <w:t xml:space="preserve">Извещение о проведении </w:t>
      </w:r>
      <w:r w:rsidR="00BF77CB">
        <w:rPr>
          <w:rFonts w:ascii="Times New Roman" w:hAnsi="Times New Roman" w:cs="Times New Roman"/>
          <w:sz w:val="32"/>
          <w:szCs w:val="32"/>
        </w:rPr>
        <w:t>аукциона</w:t>
      </w:r>
    </w:p>
    <w:p w:rsidR="00A05070" w:rsidRPr="00C5245D" w:rsidRDefault="00A05070" w:rsidP="00A0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070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5D">
        <w:rPr>
          <w:rFonts w:ascii="Times New Roman" w:hAnsi="Times New Roman" w:cs="Times New Roman"/>
          <w:sz w:val="24"/>
          <w:szCs w:val="24"/>
        </w:rPr>
        <w:t xml:space="preserve">Территориальное управление Федерального агентства по управлению государственным имуществом в </w:t>
      </w:r>
      <w:r>
        <w:rPr>
          <w:rFonts w:ascii="Times New Roman" w:hAnsi="Times New Roman" w:cs="Times New Roman"/>
          <w:sz w:val="24"/>
          <w:szCs w:val="24"/>
        </w:rPr>
        <w:t>Тверской</w:t>
      </w:r>
      <w:r w:rsidRPr="00C5245D">
        <w:rPr>
          <w:rFonts w:ascii="Times New Roman" w:hAnsi="Times New Roman" w:cs="Times New Roman"/>
          <w:sz w:val="24"/>
          <w:szCs w:val="24"/>
        </w:rPr>
        <w:t xml:space="preserve"> области сообщает о проведении торгов (аукциона</w:t>
      </w:r>
      <w:r w:rsidRPr="00F80660">
        <w:rPr>
          <w:rFonts w:ascii="Times New Roman" w:hAnsi="Times New Roman" w:cs="Times New Roman"/>
          <w:sz w:val="24"/>
          <w:szCs w:val="24"/>
        </w:rPr>
        <w:t xml:space="preserve">) </w:t>
      </w:r>
      <w:r w:rsidR="00F80660" w:rsidRPr="00F80660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F806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находящегося в федеральной собственности</w:t>
      </w:r>
      <w:r w:rsidRPr="00C5245D">
        <w:rPr>
          <w:rFonts w:ascii="Times New Roman" w:hAnsi="Times New Roman" w:cs="Times New Roman"/>
          <w:sz w:val="24"/>
          <w:szCs w:val="24"/>
        </w:rPr>
        <w:t>.</w:t>
      </w:r>
    </w:p>
    <w:p w:rsidR="00A05070" w:rsidRPr="00C5245D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070" w:rsidRDefault="00A05070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5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05070" w:rsidRPr="00B315F9" w:rsidRDefault="00A05070" w:rsidP="00801EC1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5F9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торгов </w:t>
      </w:r>
      <w:r w:rsidRPr="00B315F9">
        <w:rPr>
          <w:rFonts w:ascii="Times New Roman" w:hAnsi="Times New Roman" w:cs="Times New Roman"/>
          <w:sz w:val="24"/>
          <w:szCs w:val="24"/>
        </w:rPr>
        <w:t xml:space="preserve">– распоряжение Территориального управления Федерального агентства по управлению государственным имуществом в Тверской области от </w:t>
      </w:r>
      <w:r w:rsidR="00D87B7B">
        <w:rPr>
          <w:rFonts w:ascii="Times New Roman" w:hAnsi="Times New Roman" w:cs="Times New Roman"/>
          <w:sz w:val="24"/>
          <w:szCs w:val="24"/>
        </w:rPr>
        <w:t>12.10.2021</w:t>
      </w:r>
      <w:r w:rsidR="001B3276" w:rsidRPr="00256E9E">
        <w:rPr>
          <w:rFonts w:ascii="Times New Roman" w:hAnsi="Times New Roman" w:cs="Times New Roman"/>
          <w:sz w:val="24"/>
          <w:szCs w:val="24"/>
        </w:rPr>
        <w:t xml:space="preserve"> № </w:t>
      </w:r>
      <w:r w:rsidR="00D87B7B">
        <w:rPr>
          <w:rFonts w:ascii="Times New Roman" w:hAnsi="Times New Roman" w:cs="Times New Roman"/>
          <w:sz w:val="24"/>
          <w:szCs w:val="24"/>
        </w:rPr>
        <w:t>291</w:t>
      </w:r>
      <w:r w:rsidR="00D0640F">
        <w:rPr>
          <w:rFonts w:ascii="Times New Roman" w:hAnsi="Times New Roman" w:cs="Times New Roman"/>
          <w:sz w:val="24"/>
          <w:szCs w:val="24"/>
        </w:rPr>
        <w:t>-р</w:t>
      </w:r>
      <w:r w:rsidRPr="004B0757">
        <w:rPr>
          <w:rFonts w:ascii="Times New Roman" w:hAnsi="Times New Roman" w:cs="Times New Roman"/>
          <w:sz w:val="24"/>
          <w:szCs w:val="24"/>
        </w:rPr>
        <w:t xml:space="preserve"> «О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0757">
        <w:rPr>
          <w:rFonts w:ascii="Times New Roman" w:hAnsi="Times New Roman" w:cs="Times New Roman"/>
          <w:sz w:val="24"/>
          <w:szCs w:val="24"/>
        </w:rPr>
        <w:t xml:space="preserve"> торгов (аукциона) </w:t>
      </w:r>
      <w:r w:rsidR="00F80660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 w:rsidRPr="004B0757">
        <w:rPr>
          <w:rFonts w:ascii="Times New Roman" w:hAnsi="Times New Roman" w:cs="Times New Roman"/>
          <w:sz w:val="24"/>
          <w:szCs w:val="24"/>
        </w:rPr>
        <w:t xml:space="preserve"> земельного участка».</w:t>
      </w:r>
    </w:p>
    <w:p w:rsidR="00F905EB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6F8">
        <w:rPr>
          <w:rFonts w:ascii="Times New Roman" w:hAnsi="Times New Roman" w:cs="Times New Roman"/>
          <w:b/>
          <w:sz w:val="24"/>
          <w:szCs w:val="24"/>
        </w:rPr>
        <w:t>2</w:t>
      </w:r>
      <w:r w:rsidRPr="00C5245D">
        <w:rPr>
          <w:rFonts w:ascii="Times New Roman" w:hAnsi="Times New Roman" w:cs="Times New Roman"/>
          <w:sz w:val="24"/>
          <w:szCs w:val="24"/>
        </w:rPr>
        <w:t xml:space="preserve">. </w:t>
      </w:r>
      <w:r w:rsidRPr="00B315F9">
        <w:rPr>
          <w:rFonts w:ascii="Times New Roman" w:hAnsi="Times New Roman" w:cs="Times New Roman"/>
          <w:b/>
          <w:sz w:val="24"/>
          <w:szCs w:val="24"/>
        </w:rPr>
        <w:t>Форма проведения торгов</w:t>
      </w:r>
      <w:r w:rsidR="00F905EB">
        <w:rPr>
          <w:rFonts w:ascii="Times New Roman" w:hAnsi="Times New Roman" w:cs="Times New Roman"/>
          <w:sz w:val="24"/>
          <w:szCs w:val="24"/>
        </w:rPr>
        <w:t xml:space="preserve"> – аукцион.</w:t>
      </w:r>
      <w:r w:rsidRPr="00C52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070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6F8">
        <w:rPr>
          <w:rFonts w:ascii="Times New Roman" w:hAnsi="Times New Roman" w:cs="Times New Roman"/>
          <w:b/>
          <w:sz w:val="24"/>
          <w:szCs w:val="24"/>
        </w:rPr>
        <w:t>3</w:t>
      </w:r>
      <w:r w:rsidRPr="00C5245D">
        <w:rPr>
          <w:rFonts w:ascii="Times New Roman" w:hAnsi="Times New Roman" w:cs="Times New Roman"/>
          <w:sz w:val="24"/>
          <w:szCs w:val="24"/>
        </w:rPr>
        <w:t xml:space="preserve">. </w:t>
      </w:r>
      <w:r w:rsidRPr="00B315F9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Pr="00C5245D">
        <w:rPr>
          <w:rFonts w:ascii="Times New Roman" w:hAnsi="Times New Roman" w:cs="Times New Roman"/>
          <w:sz w:val="24"/>
          <w:szCs w:val="24"/>
        </w:rPr>
        <w:t xml:space="preserve"> – Территориальное управление Федерального агентства по управлению государственным имуществом в </w:t>
      </w:r>
      <w:r>
        <w:rPr>
          <w:rFonts w:ascii="Times New Roman" w:hAnsi="Times New Roman" w:cs="Times New Roman"/>
          <w:sz w:val="24"/>
          <w:szCs w:val="24"/>
        </w:rPr>
        <w:t>Тверской</w:t>
      </w:r>
      <w:r w:rsidRPr="00C5245D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F905EB" w:rsidRPr="00A33345" w:rsidRDefault="00F905EB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05E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05EB">
        <w:rPr>
          <w:rFonts w:ascii="Times New Roman" w:hAnsi="Times New Roman" w:cs="Times New Roman"/>
          <w:b/>
          <w:sz w:val="24"/>
          <w:szCs w:val="24"/>
        </w:rPr>
        <w:t>Участники 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4E6">
        <w:rPr>
          <w:rFonts w:ascii="Times New Roman" w:hAnsi="Times New Roman" w:cs="Times New Roman"/>
          <w:sz w:val="24"/>
          <w:szCs w:val="24"/>
        </w:rPr>
        <w:t>–</w:t>
      </w:r>
      <w:r w:rsidR="007D6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74E6" w:rsidRPr="00A33345">
        <w:rPr>
          <w:rFonts w:ascii="Times New Roman" w:hAnsi="Times New Roman" w:cs="Times New Roman"/>
          <w:sz w:val="24"/>
          <w:szCs w:val="24"/>
        </w:rPr>
        <w:t>открытый</w:t>
      </w:r>
      <w:proofErr w:type="gramEnd"/>
      <w:r w:rsidR="002374E6" w:rsidRPr="00A33345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Pr="00A33345">
        <w:rPr>
          <w:rFonts w:ascii="Times New Roman" w:hAnsi="Times New Roman" w:cs="Times New Roman"/>
          <w:sz w:val="24"/>
          <w:szCs w:val="24"/>
        </w:rPr>
        <w:t>.</w:t>
      </w:r>
    </w:p>
    <w:p w:rsidR="00A05070" w:rsidRPr="001126D2" w:rsidRDefault="002F0885" w:rsidP="00801EC1">
      <w:pPr>
        <w:pStyle w:val="ConsPlusNormal"/>
        <w:spacing w:line="276" w:lineRule="auto"/>
        <w:ind w:firstLine="540"/>
        <w:contextualSpacing/>
        <w:jc w:val="both"/>
        <w:rPr>
          <w:color w:val="FF0000"/>
        </w:rPr>
      </w:pPr>
      <w:r w:rsidRPr="00256E9E">
        <w:rPr>
          <w:b/>
        </w:rPr>
        <w:t xml:space="preserve">  </w:t>
      </w:r>
      <w:r w:rsidR="00F905EB" w:rsidRPr="00756BEF">
        <w:rPr>
          <w:b/>
        </w:rPr>
        <w:t>5</w:t>
      </w:r>
      <w:r w:rsidR="00A05070" w:rsidRPr="00756BEF">
        <w:rPr>
          <w:b/>
        </w:rPr>
        <w:t xml:space="preserve">. Дата начала приема заявок на участие в </w:t>
      </w:r>
      <w:proofErr w:type="gramStart"/>
      <w:r w:rsidR="00A05070" w:rsidRPr="00756BEF">
        <w:rPr>
          <w:b/>
        </w:rPr>
        <w:t>аукционе</w:t>
      </w:r>
      <w:proofErr w:type="gramEnd"/>
      <w:r w:rsidR="00176871" w:rsidRPr="00756BEF">
        <w:rPr>
          <w:b/>
        </w:rPr>
        <w:t xml:space="preserve"> </w:t>
      </w:r>
      <w:r w:rsidR="00A05070" w:rsidRPr="00756BEF">
        <w:t>–</w:t>
      </w:r>
      <w:r w:rsidR="003E5969" w:rsidRPr="00756BEF">
        <w:t xml:space="preserve"> </w:t>
      </w:r>
      <w:r w:rsidR="001126D2" w:rsidRPr="001126D2">
        <w:t>26</w:t>
      </w:r>
      <w:r w:rsidR="00F63C85" w:rsidRPr="001126D2">
        <w:t xml:space="preserve"> </w:t>
      </w:r>
      <w:r w:rsidR="001126D2" w:rsidRPr="001126D2">
        <w:t xml:space="preserve">октября </w:t>
      </w:r>
      <w:r w:rsidR="00421612" w:rsidRPr="001126D2">
        <w:t>2021</w:t>
      </w:r>
      <w:r w:rsidR="00A05070" w:rsidRPr="001126D2">
        <w:t xml:space="preserve"> г.</w:t>
      </w:r>
    </w:p>
    <w:p w:rsidR="00A05070" w:rsidRPr="001126D2" w:rsidRDefault="00F905EB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6D2">
        <w:rPr>
          <w:rFonts w:ascii="Times New Roman" w:hAnsi="Times New Roman" w:cs="Times New Roman"/>
          <w:b/>
          <w:sz w:val="24"/>
          <w:szCs w:val="24"/>
        </w:rPr>
        <w:t>6</w:t>
      </w:r>
      <w:r w:rsidR="00A05070" w:rsidRPr="001126D2">
        <w:rPr>
          <w:rFonts w:ascii="Times New Roman" w:hAnsi="Times New Roman" w:cs="Times New Roman"/>
          <w:b/>
          <w:sz w:val="24"/>
          <w:szCs w:val="24"/>
        </w:rPr>
        <w:t xml:space="preserve">. Дата окончания приема заявок на участие в </w:t>
      </w:r>
      <w:proofErr w:type="gramStart"/>
      <w:r w:rsidR="00A05070" w:rsidRPr="001126D2">
        <w:rPr>
          <w:rFonts w:ascii="Times New Roman" w:hAnsi="Times New Roman" w:cs="Times New Roman"/>
          <w:b/>
          <w:sz w:val="24"/>
          <w:szCs w:val="24"/>
        </w:rPr>
        <w:t>аукционе</w:t>
      </w:r>
      <w:proofErr w:type="gramEnd"/>
      <w:r w:rsidR="002F0885" w:rsidRPr="00112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070" w:rsidRPr="001126D2">
        <w:rPr>
          <w:rFonts w:ascii="Times New Roman" w:hAnsi="Times New Roman" w:cs="Times New Roman"/>
          <w:sz w:val="24"/>
          <w:szCs w:val="24"/>
        </w:rPr>
        <w:t xml:space="preserve">– </w:t>
      </w:r>
      <w:r w:rsidR="001126D2" w:rsidRPr="001126D2">
        <w:rPr>
          <w:rFonts w:ascii="Times New Roman" w:hAnsi="Times New Roman" w:cs="Times New Roman"/>
          <w:sz w:val="24"/>
          <w:szCs w:val="24"/>
        </w:rPr>
        <w:t>19 ноября</w:t>
      </w:r>
      <w:r w:rsidR="00421612" w:rsidRPr="001126D2">
        <w:rPr>
          <w:rFonts w:ascii="Times New Roman" w:hAnsi="Times New Roman" w:cs="Times New Roman"/>
          <w:sz w:val="24"/>
          <w:szCs w:val="24"/>
        </w:rPr>
        <w:t xml:space="preserve"> 2021</w:t>
      </w:r>
      <w:r w:rsidR="00256E9E" w:rsidRPr="001126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5070" w:rsidRPr="001126D2" w:rsidRDefault="00F905EB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26D2">
        <w:rPr>
          <w:rFonts w:ascii="Times New Roman" w:hAnsi="Times New Roman" w:cs="Times New Roman"/>
          <w:b/>
          <w:sz w:val="24"/>
          <w:szCs w:val="24"/>
        </w:rPr>
        <w:t>7</w:t>
      </w:r>
      <w:r w:rsidR="00A05070" w:rsidRPr="001126D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05070" w:rsidRPr="001126D2">
        <w:rPr>
          <w:rFonts w:ascii="Times New Roman" w:hAnsi="Times New Roman" w:cs="Times New Roman"/>
          <w:b/>
          <w:sz w:val="24"/>
          <w:szCs w:val="24"/>
        </w:rPr>
        <w:t>Время и место приема заявок</w:t>
      </w:r>
      <w:r w:rsidR="00A05070" w:rsidRPr="001126D2">
        <w:rPr>
          <w:rFonts w:ascii="Times New Roman" w:hAnsi="Times New Roman" w:cs="Times New Roman"/>
          <w:sz w:val="24"/>
          <w:szCs w:val="24"/>
        </w:rPr>
        <w:t xml:space="preserve"> - рабочие дни </w:t>
      </w:r>
      <w:r w:rsidR="00637CAF" w:rsidRPr="001126D2">
        <w:rPr>
          <w:rFonts w:ascii="Times New Roman" w:hAnsi="Times New Roman" w:cs="Times New Roman"/>
          <w:sz w:val="24"/>
          <w:szCs w:val="24"/>
        </w:rPr>
        <w:t xml:space="preserve">с 10 час. 00 мин. до 12 час. 00 мин. и </w:t>
      </w:r>
      <w:r w:rsidR="00A05070" w:rsidRPr="001126D2">
        <w:rPr>
          <w:rFonts w:ascii="Times New Roman" w:hAnsi="Times New Roman" w:cs="Times New Roman"/>
          <w:sz w:val="24"/>
          <w:szCs w:val="24"/>
        </w:rPr>
        <w:t>с 14 час.00 мин. до 16 час.00 мин.  по местному времени</w:t>
      </w:r>
      <w:r w:rsidR="00C62427" w:rsidRPr="001126D2">
        <w:rPr>
          <w:rFonts w:ascii="Times New Roman" w:hAnsi="Times New Roman" w:cs="Times New Roman"/>
          <w:sz w:val="24"/>
          <w:szCs w:val="24"/>
        </w:rPr>
        <w:t xml:space="preserve">, в пятницу и предпраздничные дни с 10 час. 00 мин. до 12 час. 00 мин. по местному времени, </w:t>
      </w:r>
      <w:r w:rsidR="00A05070" w:rsidRPr="001126D2">
        <w:rPr>
          <w:rFonts w:ascii="Times New Roman" w:hAnsi="Times New Roman" w:cs="Times New Roman"/>
          <w:sz w:val="24"/>
          <w:szCs w:val="24"/>
        </w:rPr>
        <w:t xml:space="preserve">по адресу: г. Тверь, ул. Советская, 33, </w:t>
      </w:r>
      <w:proofErr w:type="spellStart"/>
      <w:r w:rsidR="00A05070" w:rsidRPr="001126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05070" w:rsidRPr="001126D2">
        <w:rPr>
          <w:rFonts w:ascii="Times New Roman" w:hAnsi="Times New Roman" w:cs="Times New Roman"/>
          <w:sz w:val="24"/>
          <w:szCs w:val="24"/>
        </w:rPr>
        <w:t>. 212.</w:t>
      </w:r>
      <w:proofErr w:type="gramEnd"/>
      <w:r w:rsidR="00A05070" w:rsidRPr="001126D2">
        <w:rPr>
          <w:rFonts w:ascii="Times New Roman" w:hAnsi="Times New Roman" w:cs="Times New Roman"/>
          <w:sz w:val="24"/>
          <w:szCs w:val="24"/>
        </w:rPr>
        <w:t xml:space="preserve"> </w:t>
      </w:r>
      <w:r w:rsidR="009D17F8" w:rsidRPr="001126D2">
        <w:rPr>
          <w:rFonts w:ascii="Times New Roman" w:hAnsi="Times New Roman" w:cs="Times New Roman"/>
          <w:sz w:val="24"/>
          <w:szCs w:val="24"/>
        </w:rPr>
        <w:t xml:space="preserve">Принимая во внимание, что в </w:t>
      </w:r>
      <w:proofErr w:type="gramStart"/>
      <w:r w:rsidR="009D17F8" w:rsidRPr="001126D2">
        <w:rPr>
          <w:rFonts w:ascii="Times New Roman" w:hAnsi="Times New Roman" w:cs="Times New Roman"/>
          <w:sz w:val="24"/>
          <w:szCs w:val="24"/>
        </w:rPr>
        <w:t>здании</w:t>
      </w:r>
      <w:proofErr w:type="gramEnd"/>
      <w:r w:rsidR="009D17F8" w:rsidRPr="001126D2">
        <w:rPr>
          <w:rFonts w:ascii="Times New Roman" w:hAnsi="Times New Roman" w:cs="Times New Roman"/>
          <w:sz w:val="24"/>
          <w:szCs w:val="24"/>
        </w:rPr>
        <w:t xml:space="preserve"> осуществляется пропускной режим, обязательна предварительная запись по телефону:8(4822)33-11-62</w:t>
      </w:r>
      <w:r w:rsidR="00A05070" w:rsidRPr="001126D2">
        <w:rPr>
          <w:rFonts w:ascii="Times New Roman" w:hAnsi="Times New Roman" w:cs="Times New Roman"/>
          <w:sz w:val="24"/>
          <w:szCs w:val="24"/>
        </w:rPr>
        <w:t>.</w:t>
      </w:r>
    </w:p>
    <w:p w:rsidR="00A05070" w:rsidRPr="001126D2" w:rsidRDefault="00F905EB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6D2">
        <w:rPr>
          <w:rFonts w:ascii="Times New Roman" w:hAnsi="Times New Roman" w:cs="Times New Roman"/>
          <w:b/>
          <w:sz w:val="24"/>
          <w:szCs w:val="24"/>
        </w:rPr>
        <w:t>8</w:t>
      </w:r>
      <w:r w:rsidR="00A05070" w:rsidRPr="001126D2">
        <w:rPr>
          <w:rFonts w:ascii="Times New Roman" w:hAnsi="Times New Roman" w:cs="Times New Roman"/>
          <w:b/>
          <w:sz w:val="24"/>
          <w:szCs w:val="24"/>
        </w:rPr>
        <w:t>. Дата, время и место определения участников аукциона</w:t>
      </w:r>
      <w:r w:rsidR="0019366E" w:rsidRPr="00112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070" w:rsidRPr="001126D2">
        <w:rPr>
          <w:rFonts w:ascii="Times New Roman" w:hAnsi="Times New Roman" w:cs="Times New Roman"/>
          <w:sz w:val="24"/>
          <w:szCs w:val="24"/>
        </w:rPr>
        <w:t>–</w:t>
      </w:r>
      <w:r w:rsidR="0019366E" w:rsidRPr="001126D2">
        <w:rPr>
          <w:rFonts w:ascii="Times New Roman" w:hAnsi="Times New Roman" w:cs="Times New Roman"/>
          <w:sz w:val="24"/>
          <w:szCs w:val="24"/>
        </w:rPr>
        <w:t xml:space="preserve"> </w:t>
      </w:r>
      <w:r w:rsidR="001126D2" w:rsidRPr="001126D2">
        <w:rPr>
          <w:rFonts w:ascii="Times New Roman" w:hAnsi="Times New Roman" w:cs="Times New Roman"/>
          <w:sz w:val="24"/>
          <w:szCs w:val="24"/>
        </w:rPr>
        <w:t>22 ноября</w:t>
      </w:r>
      <w:r w:rsidR="00421612" w:rsidRPr="001126D2">
        <w:rPr>
          <w:rFonts w:ascii="Times New Roman" w:hAnsi="Times New Roman" w:cs="Times New Roman"/>
          <w:sz w:val="24"/>
          <w:szCs w:val="24"/>
        </w:rPr>
        <w:t xml:space="preserve"> 2021</w:t>
      </w:r>
      <w:r w:rsidR="00256E9E" w:rsidRPr="001126D2">
        <w:rPr>
          <w:rFonts w:ascii="Times New Roman" w:hAnsi="Times New Roman" w:cs="Times New Roman"/>
          <w:sz w:val="24"/>
          <w:szCs w:val="24"/>
        </w:rPr>
        <w:t xml:space="preserve"> г.</w:t>
      </w:r>
      <w:r w:rsidR="00A05070" w:rsidRPr="001126D2">
        <w:rPr>
          <w:rFonts w:ascii="Times New Roman" w:hAnsi="Times New Roman" w:cs="Times New Roman"/>
          <w:sz w:val="24"/>
          <w:szCs w:val="24"/>
        </w:rPr>
        <w:t xml:space="preserve"> в 11 час.00 мин. по местному времени по адресу: г. Тверь, ул. Советская, 33, </w:t>
      </w:r>
      <w:proofErr w:type="spellStart"/>
      <w:r w:rsidR="00A05070" w:rsidRPr="001126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05070" w:rsidRPr="001126D2">
        <w:rPr>
          <w:rFonts w:ascii="Times New Roman" w:hAnsi="Times New Roman" w:cs="Times New Roman"/>
          <w:sz w:val="24"/>
          <w:szCs w:val="24"/>
        </w:rPr>
        <w:t>. 212.</w:t>
      </w:r>
    </w:p>
    <w:p w:rsidR="00A05070" w:rsidRPr="00756BEF" w:rsidRDefault="00F905EB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6D2">
        <w:rPr>
          <w:rFonts w:ascii="Times New Roman" w:hAnsi="Times New Roman" w:cs="Times New Roman"/>
          <w:b/>
          <w:sz w:val="24"/>
          <w:szCs w:val="24"/>
        </w:rPr>
        <w:t>9</w:t>
      </w:r>
      <w:r w:rsidR="00A05070" w:rsidRPr="001126D2">
        <w:rPr>
          <w:rFonts w:ascii="Times New Roman" w:hAnsi="Times New Roman" w:cs="Times New Roman"/>
          <w:b/>
          <w:sz w:val="24"/>
          <w:szCs w:val="24"/>
        </w:rPr>
        <w:t>.</w:t>
      </w:r>
      <w:r w:rsidR="00D00F4D" w:rsidRPr="00112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070" w:rsidRPr="001126D2"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 w:rsidR="00A05070" w:rsidRPr="001126D2">
        <w:rPr>
          <w:rFonts w:ascii="Times New Roman" w:hAnsi="Times New Roman" w:cs="Times New Roman"/>
          <w:sz w:val="24"/>
          <w:szCs w:val="24"/>
        </w:rPr>
        <w:t>–</w:t>
      </w:r>
      <w:r w:rsidR="003E5969" w:rsidRPr="001126D2">
        <w:rPr>
          <w:rFonts w:ascii="Times New Roman" w:hAnsi="Times New Roman" w:cs="Times New Roman"/>
          <w:sz w:val="24"/>
          <w:szCs w:val="24"/>
        </w:rPr>
        <w:t xml:space="preserve"> </w:t>
      </w:r>
      <w:r w:rsidR="001126D2" w:rsidRPr="001126D2">
        <w:rPr>
          <w:rFonts w:ascii="Times New Roman" w:hAnsi="Times New Roman" w:cs="Times New Roman"/>
          <w:sz w:val="24"/>
          <w:szCs w:val="24"/>
        </w:rPr>
        <w:t>24 ноября</w:t>
      </w:r>
      <w:r w:rsidR="00421612" w:rsidRPr="001126D2">
        <w:rPr>
          <w:rFonts w:ascii="Times New Roman" w:hAnsi="Times New Roman" w:cs="Times New Roman"/>
          <w:sz w:val="24"/>
          <w:szCs w:val="24"/>
        </w:rPr>
        <w:t xml:space="preserve"> 2021</w:t>
      </w:r>
      <w:r w:rsidR="00256E9E" w:rsidRPr="001126D2">
        <w:rPr>
          <w:rFonts w:ascii="Times New Roman" w:hAnsi="Times New Roman" w:cs="Times New Roman"/>
          <w:sz w:val="24"/>
          <w:szCs w:val="24"/>
        </w:rPr>
        <w:t xml:space="preserve"> г. </w:t>
      </w:r>
      <w:r w:rsidR="00A05070" w:rsidRPr="001126D2">
        <w:rPr>
          <w:rFonts w:ascii="Times New Roman" w:hAnsi="Times New Roman" w:cs="Times New Roman"/>
          <w:sz w:val="24"/>
          <w:szCs w:val="24"/>
        </w:rPr>
        <w:t xml:space="preserve">в </w:t>
      </w:r>
      <w:r w:rsidR="00756BEF" w:rsidRPr="001126D2">
        <w:rPr>
          <w:rFonts w:ascii="Times New Roman" w:hAnsi="Times New Roman" w:cs="Times New Roman"/>
          <w:sz w:val="24"/>
          <w:szCs w:val="24"/>
        </w:rPr>
        <w:t>11</w:t>
      </w:r>
      <w:r w:rsidR="00A05070" w:rsidRPr="001126D2">
        <w:rPr>
          <w:rFonts w:ascii="Times New Roman" w:hAnsi="Times New Roman" w:cs="Times New Roman"/>
          <w:sz w:val="24"/>
          <w:szCs w:val="24"/>
        </w:rPr>
        <w:t xml:space="preserve"> час.</w:t>
      </w:r>
      <w:r w:rsidR="00756BEF" w:rsidRPr="001126D2">
        <w:rPr>
          <w:rFonts w:ascii="Times New Roman" w:hAnsi="Times New Roman" w:cs="Times New Roman"/>
          <w:sz w:val="24"/>
          <w:szCs w:val="24"/>
        </w:rPr>
        <w:t>00</w:t>
      </w:r>
      <w:r w:rsidR="00A05070" w:rsidRPr="001126D2">
        <w:rPr>
          <w:rFonts w:ascii="Times New Roman" w:hAnsi="Times New Roman" w:cs="Times New Roman"/>
          <w:sz w:val="24"/>
          <w:szCs w:val="24"/>
        </w:rPr>
        <w:t xml:space="preserve"> мин</w:t>
      </w:r>
      <w:r w:rsidR="00A05070" w:rsidRPr="004B7227">
        <w:rPr>
          <w:rFonts w:ascii="Times New Roman" w:hAnsi="Times New Roman" w:cs="Times New Roman"/>
          <w:sz w:val="24"/>
          <w:szCs w:val="24"/>
        </w:rPr>
        <w:t xml:space="preserve">. по местному времени по адресу: г. Тверь, ул. Советская, 33, </w:t>
      </w:r>
      <w:proofErr w:type="spellStart"/>
      <w:r w:rsidR="00A05070" w:rsidRPr="004B722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05070" w:rsidRPr="004B7227">
        <w:rPr>
          <w:rFonts w:ascii="Times New Roman" w:hAnsi="Times New Roman" w:cs="Times New Roman"/>
          <w:sz w:val="24"/>
          <w:szCs w:val="24"/>
        </w:rPr>
        <w:t>. 212.</w:t>
      </w:r>
    </w:p>
    <w:p w:rsidR="00D00F4D" w:rsidRPr="00D00F4D" w:rsidRDefault="00F905EB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0F4D" w:rsidRPr="00D00F4D">
        <w:rPr>
          <w:rFonts w:ascii="Times New Roman" w:hAnsi="Times New Roman" w:cs="Times New Roman"/>
          <w:b/>
          <w:sz w:val="24"/>
          <w:szCs w:val="24"/>
        </w:rPr>
        <w:t>. Срок принятия решения об отказе в проведении аукциона</w:t>
      </w:r>
      <w:r w:rsidR="00D00F4D" w:rsidRPr="00D00F4D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gramStart"/>
      <w:r w:rsidR="00D00F4D" w:rsidRPr="00D00F4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D00F4D" w:rsidRPr="00D00F4D">
        <w:rPr>
          <w:rFonts w:ascii="Times New Roman" w:hAnsi="Times New Roman" w:cs="Times New Roman"/>
          <w:sz w:val="24"/>
          <w:szCs w:val="24"/>
        </w:rPr>
        <w:t xml:space="preserve"> чем за 5 дней до дня проведения аукциона. Извещение об отказе в проведен</w:t>
      </w:r>
      <w:proofErr w:type="gramStart"/>
      <w:r w:rsidR="00D00F4D" w:rsidRPr="00D00F4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D00F4D" w:rsidRPr="00D00F4D">
        <w:rPr>
          <w:rFonts w:ascii="Times New Roman" w:hAnsi="Times New Roman" w:cs="Times New Roman"/>
          <w:sz w:val="24"/>
          <w:szCs w:val="24"/>
        </w:rPr>
        <w:t xml:space="preserve">кциона размещается на официальном сайте организатором аукциона в течение трех дней со дня принятия данного решения и размещается на сайте </w:t>
      </w:r>
      <w:hyperlink r:id="rId6" w:history="1">
        <w:r w:rsidR="00D00F4D" w:rsidRPr="00D00F4D">
          <w:rPr>
            <w:rFonts w:ascii="Times New Roman" w:hAnsi="Times New Roman" w:cs="Times New Roman"/>
            <w:sz w:val="24"/>
            <w:szCs w:val="24"/>
            <w:u w:val="single"/>
          </w:rPr>
          <w:t>www.torgi.gov.ru</w:t>
        </w:r>
      </w:hyperlink>
      <w:r w:rsidR="00D00F4D" w:rsidRPr="00D00F4D">
        <w:rPr>
          <w:rFonts w:ascii="Times New Roman" w:hAnsi="Times New Roman" w:cs="Times New Roman"/>
          <w:sz w:val="24"/>
          <w:szCs w:val="24"/>
        </w:rPr>
        <w:t>.</w:t>
      </w:r>
    </w:p>
    <w:p w:rsidR="0083181F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5D">
        <w:rPr>
          <w:rFonts w:ascii="Times New Roman" w:hAnsi="Times New Roman" w:cs="Times New Roman"/>
          <w:sz w:val="24"/>
          <w:szCs w:val="24"/>
        </w:rPr>
        <w:t>Осмотр земельного участка на местности производится лицами, желающими участвовать в аукционе, самостоятельно.</w:t>
      </w:r>
    </w:p>
    <w:p w:rsidR="0083181F" w:rsidRPr="00C5245D" w:rsidRDefault="0083181F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181F" w:rsidRPr="0055725C" w:rsidRDefault="00A05070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725C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D00F4D" w:rsidRPr="0055725C">
        <w:rPr>
          <w:rFonts w:ascii="Times New Roman" w:hAnsi="Times New Roman" w:cs="Times New Roman"/>
          <w:b/>
          <w:sz w:val="24"/>
          <w:szCs w:val="24"/>
        </w:rPr>
        <w:t>Предмет аукциона</w:t>
      </w:r>
    </w:p>
    <w:p w:rsidR="00D00F4D" w:rsidRPr="0055725C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25C">
        <w:rPr>
          <w:rFonts w:ascii="Times New Roman" w:hAnsi="Times New Roman" w:cs="Times New Roman"/>
          <w:sz w:val="24"/>
          <w:szCs w:val="24"/>
        </w:rPr>
        <w:t>- земельный участок, находящийся в федеральной собственности,</w:t>
      </w:r>
    </w:p>
    <w:p w:rsidR="00D00F4D" w:rsidRPr="0055725C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25C">
        <w:rPr>
          <w:rFonts w:ascii="Times New Roman" w:hAnsi="Times New Roman" w:cs="Times New Roman"/>
          <w:sz w:val="24"/>
          <w:szCs w:val="24"/>
        </w:rPr>
        <w:t xml:space="preserve">- кадастровый номер: </w:t>
      </w:r>
      <w:r w:rsidR="00421612" w:rsidRPr="0055725C">
        <w:rPr>
          <w:rFonts w:ascii="Times New Roman" w:eastAsia="TimesNewRomanPSMT" w:hAnsi="Times New Roman" w:cs="Times New Roman"/>
          <w:sz w:val="24"/>
          <w:szCs w:val="24"/>
        </w:rPr>
        <w:t>69:</w:t>
      </w:r>
      <w:r w:rsidR="00111272" w:rsidRPr="0055725C">
        <w:rPr>
          <w:rFonts w:ascii="Times New Roman" w:eastAsia="TimesNewRomanPSMT" w:hAnsi="Times New Roman" w:cs="Times New Roman"/>
          <w:sz w:val="24"/>
          <w:szCs w:val="24"/>
        </w:rPr>
        <w:t>48:0</w:t>
      </w:r>
      <w:r w:rsidR="004C35D9">
        <w:rPr>
          <w:rFonts w:ascii="Times New Roman" w:eastAsia="TimesNewRomanPSMT" w:hAnsi="Times New Roman" w:cs="Times New Roman"/>
          <w:sz w:val="24"/>
          <w:szCs w:val="24"/>
        </w:rPr>
        <w:t>0</w:t>
      </w:r>
      <w:r w:rsidR="00111272" w:rsidRPr="0055725C">
        <w:rPr>
          <w:rFonts w:ascii="Times New Roman" w:eastAsia="TimesNewRomanPSMT" w:hAnsi="Times New Roman" w:cs="Times New Roman"/>
          <w:sz w:val="24"/>
          <w:szCs w:val="24"/>
        </w:rPr>
        <w:t>70124:35</w:t>
      </w:r>
      <w:r w:rsidRPr="005572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0F4D" w:rsidRPr="0055725C" w:rsidRDefault="00D00F4D" w:rsidP="004216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25C">
        <w:rPr>
          <w:rFonts w:ascii="Times New Roman" w:hAnsi="Times New Roman" w:cs="Times New Roman"/>
          <w:sz w:val="24"/>
          <w:szCs w:val="24"/>
        </w:rPr>
        <w:t xml:space="preserve">- категория земель: </w:t>
      </w:r>
      <w:r w:rsidR="0055725C" w:rsidRPr="00557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111272" w:rsidRPr="00557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емли населённых пунктов</w:t>
      </w:r>
      <w:r w:rsidR="004C35D9">
        <w:rPr>
          <w:rFonts w:ascii="Times New Roman" w:hAnsi="Times New Roman" w:cs="Times New Roman"/>
          <w:sz w:val="24"/>
          <w:szCs w:val="24"/>
        </w:rPr>
        <w:t>;</w:t>
      </w:r>
    </w:p>
    <w:p w:rsidR="00D00F4D" w:rsidRPr="0055725C" w:rsidRDefault="00D00F4D" w:rsidP="004216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25C">
        <w:rPr>
          <w:rFonts w:ascii="Times New Roman" w:hAnsi="Times New Roman" w:cs="Times New Roman"/>
          <w:sz w:val="24"/>
          <w:szCs w:val="24"/>
        </w:rPr>
        <w:t>-</w:t>
      </w:r>
      <w:r w:rsidR="00F80660" w:rsidRPr="0055725C">
        <w:rPr>
          <w:rFonts w:ascii="Times New Roman" w:hAnsi="Times New Roman" w:cs="Times New Roman"/>
          <w:sz w:val="24"/>
          <w:szCs w:val="24"/>
        </w:rPr>
        <w:t xml:space="preserve"> адрес</w:t>
      </w:r>
      <w:r w:rsidRPr="0055725C">
        <w:rPr>
          <w:rFonts w:ascii="Times New Roman" w:hAnsi="Times New Roman" w:cs="Times New Roman"/>
          <w:sz w:val="24"/>
          <w:szCs w:val="24"/>
        </w:rPr>
        <w:t xml:space="preserve">: </w:t>
      </w:r>
      <w:r w:rsidR="0055725C" w:rsidRPr="0055725C">
        <w:rPr>
          <w:rFonts w:ascii="Times New Roman" w:hAnsi="Times New Roman" w:cs="Times New Roman"/>
          <w:sz w:val="24"/>
          <w:szCs w:val="24"/>
        </w:rPr>
        <w:t xml:space="preserve">обл. Тверская, р-н </w:t>
      </w:r>
      <w:proofErr w:type="spellStart"/>
      <w:r w:rsidR="0055725C" w:rsidRPr="0055725C">
        <w:rPr>
          <w:rFonts w:ascii="Times New Roman" w:hAnsi="Times New Roman" w:cs="Times New Roman"/>
          <w:sz w:val="24"/>
          <w:szCs w:val="24"/>
        </w:rPr>
        <w:t>Удомельский</w:t>
      </w:r>
      <w:proofErr w:type="spellEnd"/>
      <w:r w:rsidR="0055725C" w:rsidRPr="0055725C">
        <w:rPr>
          <w:rFonts w:ascii="Times New Roman" w:hAnsi="Times New Roman" w:cs="Times New Roman"/>
          <w:sz w:val="24"/>
          <w:szCs w:val="24"/>
        </w:rPr>
        <w:t>, г</w:t>
      </w:r>
      <w:r w:rsidR="004C35D9">
        <w:rPr>
          <w:rFonts w:ascii="Times New Roman" w:hAnsi="Times New Roman" w:cs="Times New Roman"/>
          <w:sz w:val="24"/>
          <w:szCs w:val="24"/>
        </w:rPr>
        <w:t>.</w:t>
      </w:r>
      <w:r w:rsidR="0055725C" w:rsidRPr="0055725C">
        <w:rPr>
          <w:rFonts w:ascii="Times New Roman" w:hAnsi="Times New Roman" w:cs="Times New Roman"/>
          <w:sz w:val="24"/>
          <w:szCs w:val="24"/>
        </w:rPr>
        <w:t xml:space="preserve"> Удомля, пер. Сенной</w:t>
      </w:r>
      <w:r w:rsidR="004C35D9">
        <w:rPr>
          <w:rFonts w:ascii="Times New Roman" w:hAnsi="Times New Roman" w:cs="Times New Roman"/>
          <w:sz w:val="24"/>
          <w:szCs w:val="24"/>
        </w:rPr>
        <w:t>;</w:t>
      </w:r>
    </w:p>
    <w:p w:rsidR="00D00F4D" w:rsidRPr="0055725C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25C">
        <w:rPr>
          <w:rFonts w:ascii="Times New Roman" w:hAnsi="Times New Roman" w:cs="Times New Roman"/>
          <w:sz w:val="24"/>
          <w:szCs w:val="24"/>
        </w:rPr>
        <w:t xml:space="preserve">- разрешенное использование: </w:t>
      </w:r>
      <w:r w:rsidR="004C35D9">
        <w:rPr>
          <w:rFonts w:ascii="Times New Roman" w:hAnsi="Times New Roman" w:cs="Times New Roman"/>
          <w:sz w:val="24"/>
          <w:szCs w:val="24"/>
        </w:rPr>
        <w:t xml:space="preserve">для размещения гаража,  </w:t>
      </w:r>
      <w:r w:rsidR="0055725C">
        <w:rPr>
          <w:rFonts w:ascii="Times New Roman" w:hAnsi="Times New Roman" w:cs="Times New Roman"/>
          <w:sz w:val="24"/>
          <w:szCs w:val="24"/>
        </w:rPr>
        <w:t>д</w:t>
      </w:r>
      <w:r w:rsidR="0055725C" w:rsidRPr="0055725C">
        <w:rPr>
          <w:rFonts w:ascii="Times New Roman" w:hAnsi="Times New Roman" w:cs="Times New Roman"/>
          <w:sz w:val="24"/>
          <w:szCs w:val="24"/>
        </w:rPr>
        <w:t>ля размещения индивидуальных гаражей</w:t>
      </w:r>
      <w:r w:rsidR="004C35D9">
        <w:rPr>
          <w:rFonts w:ascii="Times New Roman" w:hAnsi="Times New Roman" w:cs="Times New Roman"/>
          <w:sz w:val="24"/>
          <w:szCs w:val="24"/>
        </w:rPr>
        <w:t>;</w:t>
      </w:r>
    </w:p>
    <w:p w:rsidR="00D00F4D" w:rsidRPr="0055725C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25C">
        <w:rPr>
          <w:rFonts w:ascii="Times New Roman" w:hAnsi="Times New Roman" w:cs="Times New Roman"/>
          <w:sz w:val="24"/>
          <w:szCs w:val="24"/>
        </w:rPr>
        <w:t xml:space="preserve">- площадь: </w:t>
      </w:r>
      <w:r w:rsidR="0055725C" w:rsidRPr="00557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 кв. м</w:t>
      </w:r>
      <w:r w:rsidR="004C35D9">
        <w:rPr>
          <w:rFonts w:ascii="Times New Roman" w:hAnsi="Times New Roman" w:cs="Times New Roman"/>
          <w:sz w:val="24"/>
          <w:szCs w:val="24"/>
        </w:rPr>
        <w:t>.;</w:t>
      </w:r>
    </w:p>
    <w:p w:rsidR="00AD5264" w:rsidRDefault="00F740EF" w:rsidP="00AD52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EC1">
        <w:rPr>
          <w:rFonts w:ascii="Times New Roman" w:hAnsi="Times New Roman" w:cs="Times New Roman"/>
          <w:sz w:val="24"/>
          <w:szCs w:val="24"/>
        </w:rPr>
        <w:t xml:space="preserve">- ограничения (обременения) использования: </w:t>
      </w:r>
      <w:r w:rsidRPr="004C35D9">
        <w:rPr>
          <w:rFonts w:ascii="Times New Roman" w:hAnsi="Times New Roman" w:cs="Times New Roman"/>
          <w:sz w:val="24"/>
          <w:szCs w:val="24"/>
        </w:rPr>
        <w:t xml:space="preserve">в </w:t>
      </w:r>
      <w:r w:rsidR="004C35D9" w:rsidRPr="004C35D9">
        <w:rPr>
          <w:rFonts w:ascii="Times New Roman" w:hAnsi="Times New Roman" w:cs="Times New Roman"/>
          <w:sz w:val="24"/>
          <w:szCs w:val="24"/>
        </w:rPr>
        <w:t xml:space="preserve">Едином государственном </w:t>
      </w:r>
      <w:proofErr w:type="gramStart"/>
      <w:r w:rsidR="004C35D9" w:rsidRPr="004C35D9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="004C35D9" w:rsidRPr="004C35D9">
        <w:rPr>
          <w:rFonts w:ascii="Times New Roman" w:hAnsi="Times New Roman" w:cs="Times New Roman"/>
          <w:sz w:val="24"/>
          <w:szCs w:val="24"/>
        </w:rPr>
        <w:t xml:space="preserve"> не зарегистрированы</w:t>
      </w:r>
      <w:r w:rsidR="004C35D9">
        <w:rPr>
          <w:rFonts w:ascii="Times New Roman" w:hAnsi="Times New Roman" w:cs="Times New Roman"/>
          <w:sz w:val="24"/>
          <w:szCs w:val="24"/>
        </w:rPr>
        <w:t>.</w:t>
      </w:r>
      <w:r w:rsidR="00AD5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650" w:rsidRDefault="00594F93" w:rsidP="00AD52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A2">
        <w:rPr>
          <w:rFonts w:ascii="Times New Roman" w:hAnsi="Times New Roman" w:cs="Times New Roman"/>
          <w:sz w:val="24"/>
          <w:szCs w:val="24"/>
        </w:rPr>
        <w:t xml:space="preserve">- </w:t>
      </w:r>
      <w:r w:rsidR="00272699" w:rsidRPr="00AF0650"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</w:t>
      </w:r>
      <w:r w:rsidR="00EE379A" w:rsidRPr="00AF0650">
        <w:rPr>
          <w:rFonts w:ascii="Times New Roman" w:hAnsi="Times New Roman" w:cs="Times New Roman"/>
          <w:sz w:val="24"/>
          <w:szCs w:val="24"/>
        </w:rPr>
        <w:t>ого строительства земельных участков, расположенных в зоне</w:t>
      </w:r>
      <w:r w:rsidR="00AF0650" w:rsidRPr="00AF0650">
        <w:rPr>
          <w:rFonts w:ascii="Times New Roman" w:hAnsi="Times New Roman" w:cs="Times New Roman"/>
          <w:sz w:val="24"/>
          <w:szCs w:val="24"/>
        </w:rPr>
        <w:t xml:space="preserve"> О-1</w:t>
      </w:r>
      <w:r w:rsidR="00767EC2">
        <w:rPr>
          <w:rFonts w:ascii="Times New Roman" w:hAnsi="Times New Roman" w:cs="Times New Roman"/>
          <w:sz w:val="24"/>
          <w:szCs w:val="24"/>
        </w:rPr>
        <w:t>- м</w:t>
      </w:r>
      <w:r w:rsidR="00AF0650" w:rsidRPr="00AF0650">
        <w:rPr>
          <w:rFonts w:ascii="Times New Roman" w:hAnsi="Times New Roman" w:cs="Times New Roman"/>
          <w:sz w:val="24"/>
          <w:szCs w:val="24"/>
        </w:rPr>
        <w:t>ногофункциональн</w:t>
      </w:r>
      <w:r w:rsidR="008C09AF">
        <w:rPr>
          <w:rFonts w:ascii="Times New Roman" w:hAnsi="Times New Roman" w:cs="Times New Roman"/>
          <w:sz w:val="24"/>
          <w:szCs w:val="24"/>
        </w:rPr>
        <w:t>ой</w:t>
      </w:r>
      <w:r w:rsidR="00AF0650" w:rsidRPr="00AF0650">
        <w:rPr>
          <w:rFonts w:ascii="Times New Roman" w:hAnsi="Times New Roman" w:cs="Times New Roman"/>
          <w:sz w:val="24"/>
          <w:szCs w:val="24"/>
        </w:rPr>
        <w:t xml:space="preserve"> общественно-делов</w:t>
      </w:r>
      <w:r w:rsidR="008C09AF">
        <w:rPr>
          <w:rFonts w:ascii="Times New Roman" w:hAnsi="Times New Roman" w:cs="Times New Roman"/>
          <w:sz w:val="24"/>
          <w:szCs w:val="24"/>
        </w:rPr>
        <w:t>ой зоне, в которой расположен земельный участок</w:t>
      </w:r>
      <w:r w:rsidR="00AF0650" w:rsidRPr="00AF0650">
        <w:rPr>
          <w:rFonts w:ascii="Times New Roman" w:hAnsi="Times New Roman" w:cs="Times New Roman"/>
          <w:sz w:val="24"/>
          <w:szCs w:val="24"/>
        </w:rPr>
        <w:t xml:space="preserve"> </w:t>
      </w:r>
      <w:r w:rsidR="00EE379A" w:rsidRPr="00AF0650">
        <w:rPr>
          <w:rFonts w:ascii="Times New Roman" w:hAnsi="Times New Roman" w:cs="Times New Roman"/>
          <w:sz w:val="24"/>
          <w:szCs w:val="24"/>
        </w:rPr>
        <w:t xml:space="preserve">в соответствии Правилами землепользования и застройки муниципального образования </w:t>
      </w:r>
      <w:r w:rsidR="00724B70" w:rsidRPr="00AF065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F0650" w:rsidRPr="00AF0650">
        <w:rPr>
          <w:rFonts w:ascii="Times New Roman" w:hAnsi="Times New Roman" w:cs="Times New Roman"/>
          <w:sz w:val="24"/>
          <w:szCs w:val="24"/>
        </w:rPr>
        <w:t>Удомельский</w:t>
      </w:r>
      <w:proofErr w:type="spellEnd"/>
      <w:r w:rsidR="00AF0650" w:rsidRPr="00AF0650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724B70" w:rsidRPr="00AF0650">
        <w:rPr>
          <w:rFonts w:ascii="Times New Roman" w:hAnsi="Times New Roman" w:cs="Times New Roman"/>
          <w:sz w:val="24"/>
          <w:szCs w:val="24"/>
        </w:rPr>
        <w:t xml:space="preserve">» </w:t>
      </w:r>
      <w:r w:rsidR="00EE379A" w:rsidRPr="00AF0650">
        <w:rPr>
          <w:rFonts w:ascii="Times New Roman" w:hAnsi="Times New Roman" w:cs="Times New Roman"/>
          <w:sz w:val="24"/>
          <w:szCs w:val="24"/>
        </w:rPr>
        <w:t>Тверской области</w:t>
      </w:r>
      <w:r w:rsidR="00724B70" w:rsidRPr="00AF0650">
        <w:rPr>
          <w:rFonts w:ascii="Times New Roman" w:hAnsi="Times New Roman" w:cs="Times New Roman"/>
          <w:sz w:val="24"/>
          <w:szCs w:val="24"/>
        </w:rPr>
        <w:t>,</w:t>
      </w:r>
      <w:r w:rsidR="00AF0650">
        <w:rPr>
          <w:rFonts w:ascii="Times New Roman" w:hAnsi="Times New Roman" w:cs="Times New Roman"/>
          <w:sz w:val="24"/>
          <w:szCs w:val="24"/>
        </w:rPr>
        <w:t xml:space="preserve"> утвержденными решением </w:t>
      </w:r>
      <w:proofErr w:type="spellStart"/>
      <w:r w:rsidR="00AF0650">
        <w:rPr>
          <w:rFonts w:ascii="Times New Roman" w:hAnsi="Times New Roman" w:cs="Times New Roman"/>
          <w:sz w:val="24"/>
          <w:szCs w:val="24"/>
        </w:rPr>
        <w:t>Удомельской</w:t>
      </w:r>
      <w:proofErr w:type="spellEnd"/>
      <w:r w:rsidR="00AF0650">
        <w:rPr>
          <w:rFonts w:ascii="Times New Roman" w:hAnsi="Times New Roman" w:cs="Times New Roman"/>
          <w:sz w:val="24"/>
          <w:szCs w:val="24"/>
        </w:rPr>
        <w:t xml:space="preserve"> городской Думы от 24.01.2019 г. №361 (с изменениями от 21.11.2019 г. №414)</w:t>
      </w:r>
      <w:r w:rsidR="00EE379A" w:rsidRPr="00AF06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5D9" w:rsidRDefault="004C35D9" w:rsidP="004C35D9">
      <w:pPr>
        <w:keepNext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7100"/>
        <w:gridCol w:w="707"/>
        <w:gridCol w:w="1557"/>
      </w:tblGrid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Минимальное расстояние от хозяйственных построек до красных линий улиц</w:t>
            </w:r>
          </w:p>
        </w:tc>
        <w:tc>
          <w:tcPr>
            <w:tcW w:w="70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55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земельных участков в </w:t>
            </w:r>
            <w:proofErr w:type="gram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определения мест допустимого размещения зданий, строений, сооружений, за пределами которых запрещено строительство зданий, строений, сооружений для видов разрешенного использования с кодами (2.7)</w:t>
            </w:r>
          </w:p>
        </w:tc>
        <w:tc>
          <w:tcPr>
            <w:tcW w:w="70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55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0-1.5*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земельных участков в </w:t>
            </w:r>
            <w:proofErr w:type="gram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определения мест допустимого размещения зданий, строений, сооружений, за пределами которых запрещено строительство зданий, строений, сооружений для видов разрешенного использования с кодами (3.4, 3.4.1, 3.4.2, 3.6, 3.8, 3.9, 3.9.1, 3.10, 3.10.1, 3.10.2, 4.1, 4.4, 4.5, 4.6, 4.7, 5.1,)</w:t>
            </w:r>
          </w:p>
        </w:tc>
        <w:tc>
          <w:tcPr>
            <w:tcW w:w="70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55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земельных участков в </w:t>
            </w:r>
            <w:proofErr w:type="gram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определения мест допустимого размещения зданий, строений, сооружений, за пределами которых запрещено строительство зданий, строений, сооружений для видов разрешенного использования с кодами (3.1, 4.10, 6.9,)</w:t>
            </w:r>
          </w:p>
        </w:tc>
        <w:tc>
          <w:tcPr>
            <w:tcW w:w="70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55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земельных участков в </w:t>
            </w:r>
            <w:proofErr w:type="gram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определения мест допустимого размещения зданий, строений, сооружений, за пределами которых запрещено строительство зданий, строений, сооружений для видов разрешенного использования с кодами (3.7)</w:t>
            </w:r>
          </w:p>
        </w:tc>
        <w:tc>
          <w:tcPr>
            <w:tcW w:w="70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557" w:type="dxa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Предельно допустимые размеры земельных участков для видов разрешенного использования с кодами (3.1) в части объектов инженерного обеспечения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0,01-6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Предельно допустимые размеры земельных участков для видов разрешенного использования с кодами (3.2, 3.3, 3.4, 3.4.1, 3.4.2, 3.6, 3.7, 3.8, 3.9, 3.9.1, 3.10, 3.10.1, 3.10.2, 6.9, 6.9.1)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200 – 3000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Предельно допустимые размеры земельных участков для видов разрешенного использования с кодами (4.0 - 4.10) 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30 – 3000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widowControl w:val="0"/>
              <w:tabs>
                <w:tab w:val="left" w:pos="709"/>
                <w:tab w:val="left" w:pos="1080"/>
              </w:tabs>
              <w:overflowPunct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Другие предельно допустимые размеры земельных участков:</w:t>
            </w:r>
          </w:p>
          <w:p w:rsidR="00AF0650" w:rsidRPr="00AF0650" w:rsidRDefault="00AF0650" w:rsidP="00AF0650">
            <w:pPr>
              <w:widowControl w:val="0"/>
              <w:tabs>
                <w:tab w:val="left" w:pos="709"/>
                <w:tab w:val="left" w:pos="1080"/>
              </w:tabs>
              <w:overflowPunct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а)  по ширине </w:t>
            </w:r>
          </w:p>
          <w:p w:rsidR="00AF0650" w:rsidRPr="00AF0650" w:rsidRDefault="00AF0650" w:rsidP="00AF0650">
            <w:pPr>
              <w:widowControl w:val="0"/>
              <w:tabs>
                <w:tab w:val="left" w:pos="709"/>
                <w:tab w:val="left" w:pos="1080"/>
              </w:tabs>
              <w:overflowPunct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б)  по любой стороне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этажей зданий, строений и сооружений для всех объектов капитального строительства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этаж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процент застройки в </w:t>
            </w:r>
            <w:proofErr w:type="gram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границах</w:t>
            </w:r>
            <w:proofErr w:type="gram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участков для видов разрешенного использования с кодами (3.1, 3.2, 3.3, 3.4, 3.4.1, 3.4.2, 3.6, 3.7, 3.8, 3.9, 3.9.1, 3.10, 3.10.1, 3.10.2, 4.1, 4.4, 4.5, 4.6, 4.7, 4.9.1, 6.9)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процент застройки в </w:t>
            </w:r>
            <w:proofErr w:type="gram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границах</w:t>
            </w:r>
            <w:proofErr w:type="gram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участков для видов разрешенного использования с кодами (4.0-4.9) площадью 30-100 м² 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90</w:t>
            </w:r>
          </w:p>
        </w:tc>
      </w:tr>
      <w:tr w:rsidR="00AF0650" w:rsidRPr="00AF0650" w:rsidTr="00AF0650">
        <w:tc>
          <w:tcPr>
            <w:tcW w:w="559" w:type="dxa"/>
          </w:tcPr>
          <w:p w:rsidR="00AF0650" w:rsidRPr="00AF0650" w:rsidRDefault="00AF0650" w:rsidP="00AF0650">
            <w:pPr>
              <w:numPr>
                <w:ilvl w:val="0"/>
                <w:numId w:val="6"/>
              </w:numPr>
              <w:tabs>
                <w:tab w:val="num" w:pos="318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0" w:type="dxa"/>
          </w:tcPr>
          <w:p w:rsidR="00AF0650" w:rsidRPr="00AF0650" w:rsidRDefault="00AF0650" w:rsidP="00AF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процент застройки в </w:t>
            </w:r>
            <w:proofErr w:type="gramStart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границах</w:t>
            </w:r>
            <w:proofErr w:type="gramEnd"/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участков для видов разрешенного использования с кодами (4.10, 5.1)</w:t>
            </w:r>
          </w:p>
        </w:tc>
        <w:tc>
          <w:tcPr>
            <w:tcW w:w="70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7" w:type="dxa"/>
            <w:vAlign w:val="center"/>
          </w:tcPr>
          <w:p w:rsidR="00AF0650" w:rsidRPr="00AF0650" w:rsidRDefault="00AF0650" w:rsidP="00AF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65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</w:tbl>
    <w:p w:rsidR="00AF0650" w:rsidRDefault="00AF0650" w:rsidP="00801EC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0EF" w:rsidRPr="00801EC1" w:rsidRDefault="00F740EF" w:rsidP="00801EC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EC1">
        <w:rPr>
          <w:rFonts w:ascii="Times New Roman" w:hAnsi="Times New Roman" w:cs="Times New Roman"/>
          <w:sz w:val="24"/>
          <w:szCs w:val="24"/>
        </w:rPr>
        <w:t xml:space="preserve">       - 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присоединение): </w:t>
      </w:r>
    </w:p>
    <w:p w:rsidR="0054670F" w:rsidRDefault="00AF0650" w:rsidP="00801EC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</w:t>
      </w:r>
      <w:r w:rsidR="0054670F">
        <w:rPr>
          <w:rFonts w:ascii="Times New Roman" w:hAnsi="Times New Roman" w:cs="Times New Roman"/>
          <w:sz w:val="24"/>
          <w:szCs w:val="24"/>
        </w:rPr>
        <w:t>лектроснабжение:</w:t>
      </w:r>
    </w:p>
    <w:p w:rsidR="00F740EF" w:rsidRPr="00801EC1" w:rsidRDefault="00AF0650" w:rsidP="00801EC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374E6">
        <w:rPr>
          <w:rFonts w:ascii="Times New Roman" w:hAnsi="Times New Roman" w:cs="Times New Roman"/>
          <w:sz w:val="24"/>
          <w:szCs w:val="24"/>
        </w:rPr>
        <w:t xml:space="preserve"> соответствии с письмом </w:t>
      </w:r>
      <w:r w:rsidR="007A23A2">
        <w:rPr>
          <w:rFonts w:ascii="Times New Roman" w:hAnsi="Times New Roman" w:cs="Times New Roman"/>
          <w:sz w:val="24"/>
          <w:szCs w:val="24"/>
        </w:rPr>
        <w:t>муниципального унитарного</w:t>
      </w:r>
      <w:r w:rsidR="0054670F">
        <w:rPr>
          <w:rFonts w:ascii="Times New Roman" w:hAnsi="Times New Roman" w:cs="Times New Roman"/>
          <w:sz w:val="24"/>
          <w:szCs w:val="24"/>
        </w:rPr>
        <w:t xml:space="preserve"> межрайонного предприятия электрических сетей «ТВЕРЬГОРЭЛЕКТРО» </w:t>
      </w:r>
      <w:proofErr w:type="spellStart"/>
      <w:r w:rsidR="0054670F">
        <w:rPr>
          <w:rFonts w:ascii="Times New Roman" w:hAnsi="Times New Roman" w:cs="Times New Roman"/>
          <w:sz w:val="24"/>
          <w:szCs w:val="24"/>
        </w:rPr>
        <w:t>Удомельское</w:t>
      </w:r>
      <w:proofErr w:type="spellEnd"/>
      <w:r w:rsidR="0054670F">
        <w:rPr>
          <w:rFonts w:ascii="Times New Roman" w:hAnsi="Times New Roman" w:cs="Times New Roman"/>
          <w:sz w:val="24"/>
          <w:szCs w:val="24"/>
        </w:rPr>
        <w:t xml:space="preserve"> отделение от 20.08.2021 г. № 91, </w:t>
      </w:r>
      <w:r w:rsidR="0054670F">
        <w:rPr>
          <w:rFonts w:ascii="Times New Roman" w:hAnsi="Times New Roman" w:cs="Times New Roman"/>
          <w:sz w:val="24"/>
          <w:szCs w:val="24"/>
        </w:rPr>
        <w:lastRenderedPageBreak/>
        <w:t>техническая возможность подключения объекта капитального строительства к сетям МУП «</w:t>
      </w:r>
      <w:proofErr w:type="spellStart"/>
      <w:r w:rsidR="0054670F">
        <w:rPr>
          <w:rFonts w:ascii="Times New Roman" w:hAnsi="Times New Roman" w:cs="Times New Roman"/>
          <w:sz w:val="24"/>
          <w:szCs w:val="24"/>
        </w:rPr>
        <w:t>Тверьгорэлектро</w:t>
      </w:r>
      <w:proofErr w:type="spellEnd"/>
      <w:r w:rsidR="0054670F">
        <w:rPr>
          <w:rFonts w:ascii="Times New Roman" w:hAnsi="Times New Roman" w:cs="Times New Roman"/>
          <w:sz w:val="24"/>
          <w:szCs w:val="24"/>
        </w:rPr>
        <w:t>», класс 0,4</w:t>
      </w:r>
      <w:proofErr w:type="gramStart"/>
      <w:r w:rsidR="0054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70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4670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54670F">
        <w:rPr>
          <w:rFonts w:ascii="Times New Roman" w:hAnsi="Times New Roman" w:cs="Times New Roman"/>
          <w:sz w:val="24"/>
          <w:szCs w:val="24"/>
        </w:rPr>
        <w:t xml:space="preserve"> имеется.</w:t>
      </w:r>
    </w:p>
    <w:p w:rsidR="00FB66B8" w:rsidRPr="00163E0E" w:rsidRDefault="00AF0650" w:rsidP="00163E0E">
      <w:pPr>
        <w:pStyle w:val="22"/>
        <w:shd w:val="clear" w:color="auto" w:fill="auto"/>
        <w:tabs>
          <w:tab w:val="left" w:pos="3717"/>
          <w:tab w:val="left" w:pos="5507"/>
        </w:tabs>
        <w:spacing w:before="0" w:line="276" w:lineRule="auto"/>
        <w:ind w:right="-1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б) Г</w:t>
      </w:r>
      <w:r w:rsidR="00F740EF" w:rsidRPr="00163E0E">
        <w:rPr>
          <w:sz w:val="24"/>
          <w:szCs w:val="24"/>
        </w:rPr>
        <w:t>азораспределение</w:t>
      </w:r>
      <w:r w:rsidR="00FB66B8" w:rsidRPr="00163E0E">
        <w:rPr>
          <w:sz w:val="24"/>
          <w:szCs w:val="24"/>
        </w:rPr>
        <w:t>:</w:t>
      </w:r>
    </w:p>
    <w:p w:rsidR="00FB66B8" w:rsidRPr="00163E0E" w:rsidRDefault="00AF0650" w:rsidP="00844BFC">
      <w:pPr>
        <w:pStyle w:val="22"/>
        <w:shd w:val="clear" w:color="auto" w:fill="auto"/>
        <w:tabs>
          <w:tab w:val="left" w:pos="3717"/>
          <w:tab w:val="left" w:pos="5507"/>
        </w:tabs>
        <w:spacing w:before="0" w:line="276" w:lineRule="auto"/>
        <w:ind w:right="-1" w:firstLine="709"/>
        <w:contextualSpacing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r w:rsidR="0080680F" w:rsidRPr="00163E0E">
        <w:rPr>
          <w:color w:val="000000"/>
          <w:sz w:val="24"/>
          <w:szCs w:val="24"/>
          <w:lang w:eastAsia="ru-RU" w:bidi="ru-RU"/>
        </w:rPr>
        <w:t xml:space="preserve"> соответствии с письмом </w:t>
      </w:r>
      <w:r w:rsidR="00435E61">
        <w:rPr>
          <w:color w:val="000000"/>
          <w:sz w:val="24"/>
          <w:szCs w:val="24"/>
          <w:lang w:eastAsia="ru-RU" w:bidi="ru-RU"/>
        </w:rPr>
        <w:t xml:space="preserve">филиала </w:t>
      </w:r>
      <w:r w:rsidR="00163E0E" w:rsidRPr="00163E0E">
        <w:rPr>
          <w:color w:val="000000"/>
          <w:sz w:val="24"/>
          <w:szCs w:val="24"/>
          <w:lang w:eastAsia="ru-RU" w:bidi="ru-RU"/>
        </w:rPr>
        <w:t>АО «Газпром газораспределение Тверь»</w:t>
      </w:r>
      <w:r w:rsidR="000B1762">
        <w:rPr>
          <w:color w:val="000000"/>
          <w:sz w:val="24"/>
          <w:szCs w:val="24"/>
          <w:lang w:eastAsia="ru-RU" w:bidi="ru-RU"/>
        </w:rPr>
        <w:t xml:space="preserve"> от 23.03.2021 №08/250</w:t>
      </w:r>
      <w:r w:rsidR="00435E61">
        <w:rPr>
          <w:color w:val="000000"/>
          <w:sz w:val="24"/>
          <w:szCs w:val="24"/>
          <w:lang w:eastAsia="ru-RU" w:bidi="ru-RU"/>
        </w:rPr>
        <w:t>, возможность подключения объектов капитального строительства к газораспределительным сетям проектируемого объекта капитального строительства, при максимальном часовом расходе газа не более 5,0 м/час не представляется возможным.</w:t>
      </w:r>
      <w:proofErr w:type="gramEnd"/>
      <w:r w:rsidR="00435E61">
        <w:rPr>
          <w:color w:val="000000"/>
          <w:sz w:val="24"/>
          <w:szCs w:val="24"/>
          <w:lang w:eastAsia="ru-RU" w:bidi="ru-RU"/>
        </w:rPr>
        <w:t xml:space="preserve"> Муниципальный район не газифицирован природным газом.</w:t>
      </w:r>
    </w:p>
    <w:p w:rsidR="00202488" w:rsidRDefault="00AF0650" w:rsidP="00801EC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</w:t>
      </w:r>
      <w:r w:rsidR="00F740EF" w:rsidRPr="00801EC1">
        <w:rPr>
          <w:rFonts w:ascii="Times New Roman" w:hAnsi="Times New Roman" w:cs="Times New Roman"/>
          <w:sz w:val="24"/>
          <w:szCs w:val="24"/>
        </w:rPr>
        <w:t>одоснабжение и водоотве</w:t>
      </w:r>
      <w:r w:rsidR="00202488" w:rsidRPr="00801EC1">
        <w:rPr>
          <w:rFonts w:ascii="Times New Roman" w:hAnsi="Times New Roman" w:cs="Times New Roman"/>
          <w:sz w:val="24"/>
          <w:szCs w:val="24"/>
        </w:rPr>
        <w:t>дение:</w:t>
      </w:r>
    </w:p>
    <w:p w:rsidR="00F740EF" w:rsidRDefault="00AF0650" w:rsidP="00435E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35E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E6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435E61">
        <w:rPr>
          <w:rFonts w:ascii="Times New Roman" w:hAnsi="Times New Roman" w:cs="Times New Roman"/>
          <w:sz w:val="24"/>
          <w:szCs w:val="24"/>
        </w:rPr>
        <w:t xml:space="preserve"> с письмом МУП г. Удомля «Удомельские коммунальные системы», т</w:t>
      </w:r>
      <w:r w:rsidR="00B2703C" w:rsidRPr="00844B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ехническая в</w:t>
      </w:r>
      <w:r w:rsidR="00435E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озможность присоединения</w:t>
      </w:r>
      <w:r w:rsidR="00B2703C" w:rsidRPr="00844B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объекта</w:t>
      </w:r>
      <w:r w:rsidR="00435E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капитального строительства к централизованной системе холодного водоснабжения г. Удомля существует.</w:t>
      </w:r>
      <w:r w:rsidR="00B2703C" w:rsidRPr="00844B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D42E0A" w:rsidRPr="00D42E0A" w:rsidRDefault="00D42E0A" w:rsidP="00D42E0A">
      <w:pPr>
        <w:spacing w:after="0" w:line="317" w:lineRule="exact"/>
        <w:ind w:left="20" w:right="2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Предельная свободная мощность существующей системы водоснабжения г. Удомля составляет 173,64м</w:t>
      </w:r>
      <w:r w:rsidRPr="00D42E0A"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/>
        </w:rPr>
        <w:t>3</w:t>
      </w: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/час.</w:t>
      </w:r>
    </w:p>
    <w:p w:rsidR="00D42E0A" w:rsidRPr="00D42E0A" w:rsidRDefault="00D42E0A" w:rsidP="00D42E0A">
      <w:pPr>
        <w:spacing w:after="0" w:line="298" w:lineRule="exact"/>
        <w:ind w:left="20" w:right="2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Максимальная нагрузка в точке подключения к</w:t>
      </w:r>
      <w:r w:rsidR="00E55EC9" w:rsidRPr="00AD52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сетям холодного водоснабжения 3</w:t>
      </w: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2,54м</w:t>
      </w:r>
      <w:r w:rsidRPr="00D42E0A"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ru-RU"/>
        </w:rPr>
        <w:t>3</w:t>
      </w: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/</w:t>
      </w:r>
      <w:proofErr w:type="spellStart"/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сут</w:t>
      </w:r>
      <w:proofErr w:type="spellEnd"/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D42E0A" w:rsidRPr="00D42E0A" w:rsidRDefault="00D42E0A" w:rsidP="00D42E0A">
      <w:pPr>
        <w:spacing w:after="0" w:line="317" w:lineRule="exact"/>
        <w:ind w:left="20" w:right="2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Срок подключения объекта - не позднее 18 месяцев со дня заключения договоров о подключении (технологическом присоединении) к централизованной системе холодного водоснабжения.</w:t>
      </w:r>
    </w:p>
    <w:p w:rsidR="00D42E0A" w:rsidRPr="00D42E0A" w:rsidRDefault="00D42E0A" w:rsidP="00D42E0A">
      <w:pPr>
        <w:spacing w:after="0" w:line="317" w:lineRule="exact"/>
        <w:ind w:left="20" w:right="2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Срок действия технических условий - 3 года с момента (даты) выдачи. </w:t>
      </w:r>
    </w:p>
    <w:p w:rsidR="00D42E0A" w:rsidRPr="00AD5264" w:rsidRDefault="00D42E0A" w:rsidP="00E55EC9">
      <w:pPr>
        <w:spacing w:after="0" w:line="322" w:lineRule="exact"/>
        <w:ind w:left="20" w:right="2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2E0A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соответствие с приказом Региональной энергетической комиссии Тверской области 17 сентября 2020 года № 57-нп с 01.01.2021 по 31.12.2021 тарифы на подключение (техническое присоединение) составляют:</w:t>
      </w:r>
      <w:r w:rsidR="00E55EC9" w:rsidRPr="00AD52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E55EC9" w:rsidRPr="00D42E0A" w:rsidRDefault="00E55EC9" w:rsidP="00E55EC9">
      <w:pPr>
        <w:spacing w:after="0" w:line="322" w:lineRule="exact"/>
        <w:ind w:left="20" w:right="20" w:firstLine="720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</w:p>
    <w:tbl>
      <w:tblPr>
        <w:tblW w:w="101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7545"/>
        <w:gridCol w:w="992"/>
        <w:gridCol w:w="944"/>
      </w:tblGrid>
      <w:tr w:rsidR="00D42E0A" w:rsidRPr="00D42E0A" w:rsidTr="00E55EC9">
        <w:trPr>
          <w:trHeight w:val="6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№№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п.п</w:t>
            </w:r>
            <w:proofErr w:type="spellEnd"/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ind w:left="22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74" w:lineRule="exact"/>
              <w:ind w:right="32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Единица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Ставка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тарифа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(без учета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НДС)</w:t>
            </w:r>
          </w:p>
        </w:tc>
      </w:tr>
      <w:tr w:rsidR="00D42E0A" w:rsidRPr="00D42E0A" w:rsidTr="00E55EC9">
        <w:trPr>
          <w:trHeight w:val="3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ind w:right="32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тыс. руб./</w:t>
            </w:r>
            <w:proofErr w:type="gramStart"/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км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1728,61</w:t>
            </w:r>
          </w:p>
        </w:tc>
      </w:tr>
      <w:tr w:rsidR="00D42E0A" w:rsidRPr="00D42E0A" w:rsidTr="00E55EC9">
        <w:trPr>
          <w:trHeight w:val="51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322" w:lineRule="exact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Коэффициенты дифференциации тарифа в зависимости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от диаметра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</w:p>
        </w:tc>
      </w:tr>
      <w:tr w:rsidR="00D42E0A" w:rsidRPr="00D42E0A" w:rsidTr="00E55EC9">
        <w:trPr>
          <w:trHeight w:val="52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2.1.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ind w:left="880"/>
              <w:jc w:val="center"/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0,43</w:t>
            </w:r>
          </w:p>
        </w:tc>
      </w:tr>
      <w:tr w:rsidR="00D42E0A" w:rsidRPr="00D42E0A" w:rsidTr="00E55EC9">
        <w:trPr>
          <w:trHeight w:val="3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2.2.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312" w:lineRule="exact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 для сетей диаметром от 40 мм до 70 мм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ind w:left="880"/>
              <w:jc w:val="center"/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0,72</w:t>
            </w:r>
          </w:p>
        </w:tc>
      </w:tr>
      <w:tr w:rsidR="00D42E0A" w:rsidRPr="00D42E0A" w:rsidTr="00E55EC9">
        <w:trPr>
          <w:trHeight w:val="39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2.3.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317" w:lineRule="exact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 для сетей диаметром от 70 мм до 100 мм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ind w:left="880"/>
              <w:jc w:val="center"/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1,0</w:t>
            </w:r>
          </w:p>
        </w:tc>
      </w:tr>
      <w:tr w:rsidR="00D42E0A" w:rsidRPr="00D42E0A" w:rsidTr="00E55EC9">
        <w:trPr>
          <w:trHeight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2.4.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317" w:lineRule="exact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 для сетей диаметром от 100 мм до 150 мм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0,0</w:t>
            </w:r>
          </w:p>
        </w:tc>
      </w:tr>
      <w:tr w:rsidR="00D42E0A" w:rsidRPr="00D42E0A" w:rsidTr="00E55EC9">
        <w:trPr>
          <w:trHeight w:val="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2.5.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322" w:lineRule="exact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 для сетей диаметром от 150 мм до 200 мм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0,0</w:t>
            </w:r>
          </w:p>
        </w:tc>
      </w:tr>
      <w:tr w:rsidR="00D42E0A" w:rsidRPr="00D42E0A" w:rsidTr="00E55EC9">
        <w:trPr>
          <w:trHeight w:val="5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2.6.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317" w:lineRule="exact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 для сетей диаметром от 200 мм до 250 мм</w:t>
            </w:r>
            <w:r w:rsidRPr="00E55EC9">
              <w:rPr>
                <w:rFonts w:ascii="Times New Roman" w:eastAsia="Arial Unicode MS" w:hAnsi="Times New Roman" w:cs="Times New Roman"/>
                <w:noProof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1,838</w:t>
            </w:r>
          </w:p>
        </w:tc>
      </w:tr>
      <w:tr w:rsidR="00D42E0A" w:rsidRPr="00D42E0A" w:rsidTr="00E55EC9">
        <w:trPr>
          <w:trHeight w:val="5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2.7.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коэффициент для сетей диаметром от 250 мм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ind w:left="880"/>
              <w:jc w:val="center"/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0,43</w:t>
            </w:r>
          </w:p>
        </w:tc>
      </w:tr>
      <w:tr w:rsidR="00D42E0A" w:rsidRPr="00D42E0A" w:rsidTr="00E55EC9"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ind w:left="1920" w:hanging="180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Базовая ставка тарифа за подключаемую нагрузку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E55EC9">
            <w:pPr>
              <w:framePr w:wrap="notBeside" w:vAnchor="text" w:hAnchor="text" w:xAlign="center" w:y="1"/>
              <w:spacing w:after="0" w:line="240" w:lineRule="auto"/>
              <w:ind w:right="32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тыс.</w:t>
            </w:r>
            <w:r w:rsid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руб./</w:t>
            </w:r>
            <w:proofErr w:type="gramStart"/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</w:t>
            </w:r>
            <w:proofErr w:type="gramEnd"/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/</w:t>
            </w:r>
            <w:proofErr w:type="spellStart"/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сут</w:t>
            </w:r>
            <w:proofErr w:type="spellEnd"/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E0A" w:rsidRPr="00D42E0A" w:rsidRDefault="00D42E0A" w:rsidP="00D42E0A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E55EC9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0,72</w:t>
            </w:r>
          </w:p>
        </w:tc>
      </w:tr>
    </w:tbl>
    <w:p w:rsidR="00E55EC9" w:rsidRPr="00844BFC" w:rsidRDefault="00E55EC9" w:rsidP="00435E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430" w:rsidRPr="00801EC1" w:rsidRDefault="00815430" w:rsidP="00801EC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1EC1">
        <w:rPr>
          <w:rFonts w:ascii="Times New Roman" w:hAnsi="Times New Roman" w:cs="Times New Roman"/>
          <w:sz w:val="24"/>
          <w:szCs w:val="24"/>
          <w:lang w:eastAsia="ru-RU"/>
        </w:rPr>
        <w:t xml:space="preserve">- строения на земельном </w:t>
      </w:r>
      <w:r w:rsidR="00ED7787">
        <w:rPr>
          <w:rFonts w:ascii="Times New Roman" w:hAnsi="Times New Roman" w:cs="Times New Roman"/>
          <w:sz w:val="24"/>
          <w:szCs w:val="24"/>
          <w:lang w:eastAsia="ru-RU"/>
        </w:rPr>
        <w:t>участке -</w:t>
      </w:r>
      <w:r w:rsidR="0020313F" w:rsidRPr="00801E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4F93" w:rsidRPr="004C35D9">
        <w:rPr>
          <w:rFonts w:ascii="Times New Roman" w:hAnsi="Times New Roman" w:cs="Times New Roman"/>
          <w:sz w:val="24"/>
          <w:szCs w:val="24"/>
          <w:lang w:eastAsia="ru-RU"/>
        </w:rPr>
        <w:t>свободный</w:t>
      </w:r>
      <w:proofErr w:type="gramEnd"/>
      <w:r w:rsidR="00594F93" w:rsidRPr="004C35D9">
        <w:rPr>
          <w:rFonts w:ascii="Times New Roman" w:hAnsi="Times New Roman" w:cs="Times New Roman"/>
          <w:sz w:val="24"/>
          <w:szCs w:val="24"/>
          <w:lang w:eastAsia="ru-RU"/>
        </w:rPr>
        <w:t xml:space="preserve"> от застройки;</w:t>
      </w:r>
    </w:p>
    <w:p w:rsidR="00D00F4D" w:rsidRPr="00801EC1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EC1">
        <w:rPr>
          <w:rFonts w:ascii="Times New Roman" w:hAnsi="Times New Roman" w:cs="Times New Roman"/>
          <w:sz w:val="24"/>
          <w:szCs w:val="24"/>
        </w:rPr>
        <w:t xml:space="preserve">- начальная цена предмета аукциона – </w:t>
      </w:r>
      <w:r w:rsidR="00CC5067">
        <w:rPr>
          <w:rFonts w:ascii="Times New Roman" w:hAnsi="Times New Roman" w:cs="Times New Roman"/>
          <w:sz w:val="24"/>
          <w:szCs w:val="24"/>
        </w:rPr>
        <w:t>8050</w:t>
      </w:r>
      <w:r w:rsidRPr="00801EC1">
        <w:rPr>
          <w:rFonts w:ascii="Times New Roman" w:hAnsi="Times New Roman" w:cs="Times New Roman"/>
          <w:sz w:val="24"/>
          <w:szCs w:val="24"/>
        </w:rPr>
        <w:t xml:space="preserve"> руб.</w:t>
      </w:r>
      <w:r w:rsidR="00594F93">
        <w:rPr>
          <w:rFonts w:ascii="Times New Roman" w:hAnsi="Times New Roman" w:cs="Times New Roman"/>
          <w:sz w:val="24"/>
          <w:szCs w:val="24"/>
        </w:rPr>
        <w:t>/год</w:t>
      </w:r>
      <w:r w:rsidR="00264925">
        <w:rPr>
          <w:rFonts w:ascii="Times New Roman" w:hAnsi="Times New Roman" w:cs="Times New Roman"/>
          <w:sz w:val="24"/>
          <w:szCs w:val="24"/>
        </w:rPr>
        <w:t xml:space="preserve"> </w:t>
      </w:r>
      <w:r w:rsidR="00264925" w:rsidRPr="00264925">
        <w:rPr>
          <w:rFonts w:ascii="Times New Roman" w:hAnsi="Times New Roman" w:cs="Times New Roman"/>
          <w:sz w:val="24"/>
          <w:szCs w:val="24"/>
        </w:rPr>
        <w:t xml:space="preserve">(определена в соответствии с </w:t>
      </w:r>
      <w:r w:rsidR="00CC5067">
        <w:rPr>
          <w:rFonts w:ascii="Times New Roman" w:hAnsi="Times New Roman" w:cs="Times New Roman"/>
          <w:sz w:val="24"/>
          <w:szCs w:val="24"/>
        </w:rPr>
        <w:t>отчетом об оценке объекта оценки № 441/2021-03</w:t>
      </w:r>
      <w:r w:rsidR="00264925" w:rsidRPr="00264925">
        <w:rPr>
          <w:rFonts w:ascii="Times New Roman" w:hAnsi="Times New Roman" w:cs="Times New Roman"/>
          <w:sz w:val="24"/>
          <w:szCs w:val="24"/>
        </w:rPr>
        <w:t>)</w:t>
      </w:r>
      <w:r w:rsidR="00594F93">
        <w:rPr>
          <w:rFonts w:ascii="Times New Roman" w:hAnsi="Times New Roman" w:cs="Times New Roman"/>
          <w:sz w:val="24"/>
          <w:szCs w:val="24"/>
        </w:rPr>
        <w:t>;</w:t>
      </w:r>
      <w:r w:rsidRPr="00801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430" w:rsidRPr="00801EC1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EC1">
        <w:rPr>
          <w:rFonts w:ascii="Times New Roman" w:hAnsi="Times New Roman" w:cs="Times New Roman"/>
          <w:sz w:val="24"/>
          <w:szCs w:val="24"/>
        </w:rPr>
        <w:t xml:space="preserve">- размер задатка – </w:t>
      </w:r>
      <w:r w:rsidR="00CC5067">
        <w:rPr>
          <w:rFonts w:ascii="Times New Roman" w:hAnsi="Times New Roman" w:cs="Times New Roman"/>
          <w:sz w:val="24"/>
          <w:szCs w:val="24"/>
        </w:rPr>
        <w:t xml:space="preserve">1610,00 </w:t>
      </w:r>
      <w:r w:rsidRPr="00801EC1">
        <w:rPr>
          <w:rFonts w:ascii="Times New Roman" w:hAnsi="Times New Roman" w:cs="Times New Roman"/>
          <w:sz w:val="24"/>
          <w:szCs w:val="24"/>
        </w:rPr>
        <w:t>руб.,</w:t>
      </w:r>
      <w:r w:rsidR="00815430" w:rsidRPr="00801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F4D" w:rsidRPr="00EE7F83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EC1">
        <w:rPr>
          <w:rFonts w:ascii="Times New Roman" w:hAnsi="Times New Roman" w:cs="Times New Roman"/>
          <w:sz w:val="24"/>
          <w:szCs w:val="24"/>
        </w:rPr>
        <w:t>- шаг аукциона –</w:t>
      </w:r>
      <w:r w:rsidR="00381B94" w:rsidRPr="00801EC1">
        <w:rPr>
          <w:rFonts w:ascii="Times New Roman" w:hAnsi="Times New Roman" w:cs="Times New Roman"/>
          <w:sz w:val="24"/>
          <w:szCs w:val="24"/>
        </w:rPr>
        <w:t xml:space="preserve"> </w:t>
      </w:r>
      <w:r w:rsidR="00EF585F">
        <w:rPr>
          <w:rFonts w:ascii="Times New Roman" w:hAnsi="Times New Roman" w:cs="Times New Roman"/>
          <w:sz w:val="24"/>
          <w:szCs w:val="24"/>
        </w:rPr>
        <w:t>240</w:t>
      </w:r>
      <w:r w:rsidR="00CC5067">
        <w:rPr>
          <w:rFonts w:ascii="Times New Roman" w:hAnsi="Times New Roman" w:cs="Times New Roman"/>
          <w:sz w:val="24"/>
          <w:szCs w:val="24"/>
        </w:rPr>
        <w:t>,</w:t>
      </w:r>
      <w:r w:rsidR="000B1762">
        <w:rPr>
          <w:rFonts w:ascii="Times New Roman" w:hAnsi="Times New Roman" w:cs="Times New Roman"/>
          <w:sz w:val="24"/>
          <w:szCs w:val="24"/>
        </w:rPr>
        <w:t>00</w:t>
      </w:r>
      <w:r w:rsidRPr="00801EC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578E4" w:rsidRPr="00EE7F83" w:rsidRDefault="008578E4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070" w:rsidRDefault="00D00F4D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F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EE7F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5070" w:rsidRPr="00EE7F83">
        <w:rPr>
          <w:rFonts w:ascii="Times New Roman" w:hAnsi="Times New Roman" w:cs="Times New Roman"/>
          <w:b/>
          <w:sz w:val="24"/>
          <w:szCs w:val="24"/>
        </w:rPr>
        <w:t xml:space="preserve">Условия участия в </w:t>
      </w:r>
      <w:r w:rsidRPr="00EE7F8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A05070" w:rsidRPr="00EE7F83" w:rsidRDefault="00D00F4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F8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05070" w:rsidRPr="00EE7F83">
        <w:rPr>
          <w:rFonts w:ascii="Times New Roman" w:hAnsi="Times New Roman" w:cs="Times New Roman"/>
          <w:b/>
          <w:sz w:val="24"/>
          <w:szCs w:val="24"/>
        </w:rPr>
        <w:t>Документы, представляемые для участия в аукционе:</w:t>
      </w:r>
    </w:p>
    <w:p w:rsidR="00C1405F" w:rsidRPr="00EE7F83" w:rsidRDefault="00C1405F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405F" w:rsidRPr="00EE7F83" w:rsidRDefault="00C1405F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2) копии документов, удостоверяющих личность заявителя</w:t>
      </w:r>
      <w:r w:rsidR="00CD13B1" w:rsidRPr="00EE7F83">
        <w:t xml:space="preserve"> (для граждан)</w:t>
      </w:r>
      <w:r w:rsidRPr="00EE7F83">
        <w:t>;</w:t>
      </w:r>
    </w:p>
    <w:p w:rsidR="00C1405F" w:rsidRPr="00EE7F83" w:rsidRDefault="00C1405F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3) документы, подтверждающие внесение задатка.</w:t>
      </w:r>
    </w:p>
    <w:p w:rsidR="00C1405F" w:rsidRPr="00EE7F83" w:rsidRDefault="00C1405F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Представление документов, подтверждающих внесение задатка, признается заключением соглашения о задатке.</w:t>
      </w:r>
    </w:p>
    <w:p w:rsidR="00D00F4D" w:rsidRPr="00EE7F83" w:rsidRDefault="00D00F4D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Заявки принимаются одновременно с полным комплектом документов, установленным в настоящем извещении. Одно лицо имеет право подать только одну заявку на участие в аукционе.</w:t>
      </w:r>
    </w:p>
    <w:p w:rsidR="00D00F4D" w:rsidRPr="00EE7F83" w:rsidRDefault="00C1405F" w:rsidP="00801EC1">
      <w:pPr>
        <w:pStyle w:val="1"/>
        <w:spacing w:before="0" w:line="276" w:lineRule="auto"/>
        <w:ind w:left="0" w:right="0" w:firstLine="0"/>
        <w:contextualSpacing/>
        <w:rPr>
          <w:b/>
          <w:sz w:val="24"/>
          <w:szCs w:val="24"/>
        </w:rPr>
      </w:pPr>
      <w:r w:rsidRPr="00EE7F83">
        <w:rPr>
          <w:sz w:val="24"/>
          <w:szCs w:val="24"/>
        </w:rPr>
        <w:tab/>
      </w:r>
      <w:r w:rsidR="00D00F4D" w:rsidRPr="00EE7F83">
        <w:rPr>
          <w:b/>
          <w:sz w:val="24"/>
          <w:szCs w:val="24"/>
        </w:rPr>
        <w:t>2. Порядок внесения задатка:</w:t>
      </w:r>
    </w:p>
    <w:p w:rsidR="00A05070" w:rsidRPr="00EE7F83" w:rsidRDefault="00147ABD" w:rsidP="00801EC1">
      <w:pPr>
        <w:pStyle w:val="1"/>
        <w:spacing w:before="0" w:line="276" w:lineRule="auto"/>
        <w:ind w:left="0" w:right="0" w:firstLine="708"/>
        <w:contextualSpacing/>
        <w:rPr>
          <w:sz w:val="24"/>
          <w:szCs w:val="24"/>
        </w:rPr>
      </w:pPr>
      <w:r w:rsidRPr="00147ABD">
        <w:rPr>
          <w:sz w:val="24"/>
          <w:szCs w:val="24"/>
        </w:rPr>
        <w:t xml:space="preserve">Задаток вносится на банковский счет 03212643000000013600 ОТДЕЛЕНИЕ ТВЕРЬ БАНКА РОССИИ//УФК по Тверской области г. Тверь; получатель Управление Федерального казначейства по Тверской области (ТУ Росимущества в Тверской области); ИНН 6950125150, КПП 695001001, БИК 012809106; корр. счёт банка: 40102810545370000029; КБК (в случае требования) 16700000000000000000 или 0 (для Сбербанка); ОКТМО </w:t>
      </w:r>
      <w:r w:rsidR="00CC5067" w:rsidRPr="00CC5067">
        <w:rPr>
          <w:bCs/>
          <w:color w:val="000000"/>
          <w:sz w:val="24"/>
          <w:szCs w:val="24"/>
          <w:shd w:val="clear" w:color="auto" w:fill="FFFFFF"/>
        </w:rPr>
        <w:t>28751000001</w:t>
      </w:r>
      <w:r w:rsidRPr="00147ABD">
        <w:rPr>
          <w:sz w:val="24"/>
          <w:szCs w:val="24"/>
        </w:rPr>
        <w:t>, л/счет 05361А56470, назначение платежа: задаток для участия в аукционе на право заключения договора аренды земельного участка с кадастровым номером</w:t>
      </w:r>
      <w:r>
        <w:rPr>
          <w:sz w:val="24"/>
          <w:szCs w:val="24"/>
        </w:rPr>
        <w:t xml:space="preserve"> </w:t>
      </w:r>
      <w:r w:rsidR="00EF585F" w:rsidRPr="00EF585F">
        <w:rPr>
          <w:rFonts w:eastAsia="TimesNewRomanPSMT"/>
          <w:sz w:val="24"/>
          <w:szCs w:val="24"/>
        </w:rPr>
        <w:t>69:48:0070124:35</w:t>
      </w:r>
      <w:r w:rsidR="00A05070" w:rsidRPr="00EE7F83">
        <w:rPr>
          <w:sz w:val="24"/>
          <w:szCs w:val="24"/>
        </w:rPr>
        <w:t>.</w:t>
      </w:r>
    </w:p>
    <w:p w:rsidR="00A05070" w:rsidRPr="00EE7F83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Возврат задатков претендентам, не ставшим участниками аукциона, и участникам аукциона, не ставшим победителями аукциона, производится по реквизитам, указанным в заявке, в течение 3 банковских дней с момента подписания протоколов о приеме заявок либо о результатах аукциона. Задаток не возвращается в случае отказа победителя аукциона от подписания протокола о результатах аукциона, заключения договора </w:t>
      </w:r>
      <w:r w:rsidR="00F905EB" w:rsidRPr="00EE7F83">
        <w:rPr>
          <w:rFonts w:ascii="Times New Roman" w:hAnsi="Times New Roman" w:cs="Times New Roman"/>
          <w:sz w:val="24"/>
          <w:szCs w:val="24"/>
        </w:rPr>
        <w:t>аренды земельного участка</w:t>
      </w:r>
      <w:r w:rsidRPr="00EE7F83">
        <w:rPr>
          <w:rFonts w:ascii="Times New Roman" w:hAnsi="Times New Roman" w:cs="Times New Roman"/>
          <w:sz w:val="24"/>
          <w:szCs w:val="24"/>
        </w:rPr>
        <w:t>.</w:t>
      </w:r>
    </w:p>
    <w:p w:rsidR="003821CD" w:rsidRPr="00EE7F83" w:rsidRDefault="003821CD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Задаток должен поступить на указанный счет не </w:t>
      </w:r>
      <w:r w:rsidRPr="004B7227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EF585F" w:rsidRPr="00EF585F">
        <w:rPr>
          <w:rFonts w:ascii="Times New Roman" w:hAnsi="Times New Roman" w:cs="Times New Roman"/>
          <w:sz w:val="24"/>
          <w:szCs w:val="24"/>
        </w:rPr>
        <w:t>19.11</w:t>
      </w:r>
      <w:r w:rsidR="00A21661" w:rsidRPr="00EF585F">
        <w:rPr>
          <w:rFonts w:ascii="Times New Roman" w:hAnsi="Times New Roman" w:cs="Times New Roman"/>
          <w:sz w:val="24"/>
          <w:szCs w:val="24"/>
        </w:rPr>
        <w:t>.2021</w:t>
      </w:r>
      <w:r w:rsidRPr="004B72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5070" w:rsidRPr="00EE7F83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Внесенный победителем аукциона задаток засчитывается в счет </w:t>
      </w:r>
      <w:r w:rsidR="00F905EB" w:rsidRPr="00EE7F83">
        <w:rPr>
          <w:rFonts w:ascii="Times New Roman" w:hAnsi="Times New Roman" w:cs="Times New Roman"/>
          <w:sz w:val="24"/>
          <w:szCs w:val="24"/>
        </w:rPr>
        <w:t>арендной платы</w:t>
      </w:r>
      <w:r w:rsidRPr="00EE7F83">
        <w:rPr>
          <w:rFonts w:ascii="Times New Roman" w:hAnsi="Times New Roman" w:cs="Times New Roman"/>
          <w:sz w:val="24"/>
          <w:szCs w:val="24"/>
        </w:rPr>
        <w:t>.</w:t>
      </w:r>
    </w:p>
    <w:p w:rsidR="00A05070" w:rsidRPr="00EE7F83" w:rsidRDefault="00BF77CB" w:rsidP="00801EC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F83">
        <w:rPr>
          <w:rFonts w:ascii="Times New Roman" w:hAnsi="Times New Roman" w:cs="Times New Roman"/>
          <w:b/>
          <w:sz w:val="24"/>
          <w:szCs w:val="24"/>
        </w:rPr>
        <w:t>Определение участников аукциона:</w:t>
      </w:r>
    </w:p>
    <w:p w:rsidR="00BF77CB" w:rsidRPr="00EE7F83" w:rsidRDefault="00BF77CB" w:rsidP="00801EC1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</w:t>
      </w:r>
    </w:p>
    <w:p w:rsidR="004C19BC" w:rsidRPr="00EE7F83" w:rsidRDefault="004C19BC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05070" w:rsidRPr="00EE7F83" w:rsidRDefault="00A05070" w:rsidP="00801E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4C19BC" w:rsidRPr="00EE7F83" w:rsidRDefault="004C19BC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1) непредставление необходимых для участия в аукционе документов или представление недостоверных сведений;</w:t>
      </w:r>
    </w:p>
    <w:p w:rsidR="004C19BC" w:rsidRPr="00EE7F83" w:rsidRDefault="004C19BC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 xml:space="preserve">2) </w:t>
      </w:r>
      <w:r w:rsidR="00F905EB" w:rsidRPr="00EE7F83">
        <w:t>не поступление</w:t>
      </w:r>
      <w:r w:rsidRPr="00EE7F83">
        <w:t xml:space="preserve"> задатка на дату рассмотрения заявок на участие в аукционе;</w:t>
      </w:r>
    </w:p>
    <w:p w:rsidR="004C19BC" w:rsidRPr="00EE7F83" w:rsidRDefault="004C19BC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 xml:space="preserve">3) подача заявки на участие в аукционе лицом, которое в соответствии с </w:t>
      </w:r>
      <w:r w:rsidR="004C5F00" w:rsidRPr="00EE7F83">
        <w:t>Земельным</w:t>
      </w:r>
      <w:r w:rsidRPr="00EE7F83">
        <w:t xml:space="preserve"> </w:t>
      </w:r>
      <w:r w:rsidR="004C5F00" w:rsidRPr="00EE7F83">
        <w:t>к</w:t>
      </w:r>
      <w:r w:rsidRPr="00EE7F83">
        <w:t>одексом</w:t>
      </w:r>
      <w:r w:rsidR="004C5F00" w:rsidRPr="00EE7F83">
        <w:t xml:space="preserve"> РФ</w:t>
      </w:r>
      <w:r w:rsidRPr="00EE7F83">
        <w:t xml:space="preserve"> и другими федеральными законами не имеет права быть участником конкретного аукциона, приобрести земельный участок в </w:t>
      </w:r>
      <w:r w:rsidR="00F905EB" w:rsidRPr="00EE7F83">
        <w:t>аренду</w:t>
      </w:r>
      <w:r w:rsidRPr="00EE7F83">
        <w:t>;</w:t>
      </w:r>
    </w:p>
    <w:p w:rsidR="004C19BC" w:rsidRPr="00EE7F83" w:rsidRDefault="004C19BC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>4) наличие сведений о заявителе</w:t>
      </w:r>
      <w:r w:rsidR="00CD13B1" w:rsidRPr="00EE7F83">
        <w:t xml:space="preserve"> в</w:t>
      </w:r>
      <w:r w:rsidRPr="00EE7F83">
        <w:t xml:space="preserve"> реестре недобросовестных участников аукциона.</w:t>
      </w:r>
    </w:p>
    <w:p w:rsidR="00472F6A" w:rsidRDefault="00472F6A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264" w:rsidRDefault="00AD5264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264" w:rsidRDefault="00AD5264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264" w:rsidRPr="00EE7F83" w:rsidRDefault="00AD5264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070" w:rsidRDefault="006B1BD2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F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EE7F83">
        <w:rPr>
          <w:rFonts w:ascii="Times New Roman" w:hAnsi="Times New Roman" w:cs="Times New Roman"/>
          <w:b/>
          <w:sz w:val="24"/>
          <w:szCs w:val="24"/>
        </w:rPr>
        <w:t>V</w:t>
      </w:r>
      <w:r w:rsidR="00A05070" w:rsidRPr="00EE7F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0F9E" w:rsidRPr="00EE7F83">
        <w:rPr>
          <w:rFonts w:ascii="Times New Roman" w:hAnsi="Times New Roman" w:cs="Times New Roman"/>
          <w:b/>
          <w:sz w:val="24"/>
          <w:szCs w:val="24"/>
        </w:rPr>
        <w:t>Признание победителя торгов</w:t>
      </w:r>
    </w:p>
    <w:p w:rsidR="00EF585F" w:rsidRDefault="00EF585F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F9E" w:rsidRPr="00EE7F83" w:rsidRDefault="00850F9E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F83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признается участник аукциона, предложивший наибольший размер </w:t>
      </w:r>
      <w:r w:rsidR="002F0885" w:rsidRPr="00EE7F83">
        <w:rPr>
          <w:rFonts w:ascii="Times New Roman" w:hAnsi="Times New Roman" w:cs="Times New Roman"/>
          <w:bCs/>
          <w:sz w:val="24"/>
          <w:szCs w:val="24"/>
        </w:rPr>
        <w:t>цены предмета аукциона</w:t>
      </w:r>
      <w:r w:rsidRPr="00EE7F83">
        <w:rPr>
          <w:rFonts w:ascii="Times New Roman" w:hAnsi="Times New Roman" w:cs="Times New Roman"/>
          <w:bCs/>
          <w:sz w:val="24"/>
          <w:szCs w:val="24"/>
        </w:rPr>
        <w:t>.</w:t>
      </w:r>
    </w:p>
    <w:p w:rsidR="00850F9E" w:rsidRPr="00EE7F83" w:rsidRDefault="00850F9E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F83">
        <w:rPr>
          <w:rFonts w:ascii="Times New Roman" w:hAnsi="Times New Roman" w:cs="Times New Roman"/>
          <w:bCs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850F9E" w:rsidRPr="00EE7F83" w:rsidRDefault="00850F9E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F83">
        <w:rPr>
          <w:rFonts w:ascii="Times New Roman" w:hAnsi="Times New Roman" w:cs="Times New Roman"/>
          <w:bCs/>
          <w:sz w:val="24"/>
          <w:szCs w:val="24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F017D5" w:rsidRPr="00EE7F83" w:rsidRDefault="004C19BC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</w:t>
      </w:r>
      <w:r w:rsidR="00F905EB" w:rsidRPr="00EE7F83">
        <w:rPr>
          <w:rFonts w:ascii="Times New Roman" w:hAnsi="Times New Roman" w:cs="Times New Roman"/>
          <w:sz w:val="24"/>
          <w:szCs w:val="24"/>
        </w:rPr>
        <w:t>аренды</w:t>
      </w:r>
      <w:r w:rsidRPr="00EE7F83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  <w:r w:rsidR="002F0885" w:rsidRPr="00EE7F83">
        <w:rPr>
          <w:rFonts w:ascii="Times New Roman" w:hAnsi="Times New Roman" w:cs="Times New Roman"/>
          <w:sz w:val="24"/>
          <w:szCs w:val="24"/>
        </w:rPr>
        <w:t xml:space="preserve">При этом договор </w:t>
      </w:r>
      <w:r w:rsidR="00F905EB" w:rsidRPr="00EE7F83">
        <w:rPr>
          <w:rFonts w:ascii="Times New Roman" w:hAnsi="Times New Roman" w:cs="Times New Roman"/>
          <w:sz w:val="24"/>
          <w:szCs w:val="24"/>
        </w:rPr>
        <w:t>аренды</w:t>
      </w:r>
      <w:r w:rsidR="002F0885" w:rsidRPr="00EE7F83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по начальной цене предмета аукциона</w:t>
      </w:r>
      <w:r w:rsidR="00F017D5" w:rsidRPr="00EE7F83">
        <w:rPr>
          <w:rFonts w:ascii="Times New Roman" w:hAnsi="Times New Roman" w:cs="Times New Roman"/>
          <w:sz w:val="24"/>
          <w:szCs w:val="24"/>
        </w:rPr>
        <w:t>, а размер ежегодной арендной платы определяется в размере, равном начальной цене предмета аукциона.</w:t>
      </w:r>
    </w:p>
    <w:p w:rsidR="002F0885" w:rsidRPr="00EE7F83" w:rsidRDefault="00F017D5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</w:t>
      </w:r>
      <w:r w:rsidR="004C19BC" w:rsidRPr="00EE7F83">
        <w:rPr>
          <w:rFonts w:ascii="Times New Roman" w:hAnsi="Times New Roman" w:cs="Times New Roman"/>
          <w:sz w:val="24"/>
          <w:szCs w:val="24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</w:t>
      </w:r>
      <w:r w:rsidR="00656171" w:rsidRPr="00EE7F83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1B3276" w:rsidRPr="00EE7F83">
        <w:rPr>
          <w:rFonts w:ascii="Times New Roman" w:hAnsi="Times New Roman" w:cs="Times New Roman"/>
          <w:sz w:val="24"/>
          <w:szCs w:val="24"/>
        </w:rPr>
        <w:t>аренды земельного</w:t>
      </w:r>
      <w:r w:rsidR="004C19BC" w:rsidRPr="00EE7F83">
        <w:rPr>
          <w:rFonts w:ascii="Times New Roman" w:hAnsi="Times New Roman" w:cs="Times New Roman"/>
          <w:sz w:val="24"/>
          <w:szCs w:val="24"/>
        </w:rPr>
        <w:t xml:space="preserve"> участка. </w:t>
      </w:r>
      <w:r w:rsidR="002F0885" w:rsidRPr="00EE7F83">
        <w:rPr>
          <w:rFonts w:ascii="Times New Roman" w:hAnsi="Times New Roman" w:cs="Times New Roman"/>
          <w:sz w:val="24"/>
          <w:szCs w:val="24"/>
        </w:rPr>
        <w:t xml:space="preserve">При этом договор </w:t>
      </w:r>
      <w:r w:rsidR="00165383" w:rsidRPr="00EE7F83">
        <w:rPr>
          <w:rFonts w:ascii="Times New Roman" w:hAnsi="Times New Roman" w:cs="Times New Roman"/>
          <w:sz w:val="24"/>
          <w:szCs w:val="24"/>
        </w:rPr>
        <w:t>аренды</w:t>
      </w:r>
      <w:r w:rsidR="002F0885" w:rsidRPr="00EE7F83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по начальной цене предмета аукциона</w:t>
      </w:r>
      <w:r w:rsidRPr="00EE7F83">
        <w:rPr>
          <w:rFonts w:ascii="Times New Roman" w:hAnsi="Times New Roman" w:cs="Times New Roman"/>
          <w:sz w:val="24"/>
          <w:szCs w:val="24"/>
        </w:rPr>
        <w:t>, а размер ежегодной арендной платы определяется в размере, равном начальной цене предмета аукциона.</w:t>
      </w:r>
    </w:p>
    <w:p w:rsidR="00A80A3A" w:rsidRDefault="00A80A3A" w:rsidP="00801EC1">
      <w:pPr>
        <w:pStyle w:val="ConsPlusNormal"/>
        <w:spacing w:line="276" w:lineRule="auto"/>
        <w:ind w:firstLine="540"/>
        <w:contextualSpacing/>
        <w:jc w:val="both"/>
      </w:pPr>
      <w:r w:rsidRPr="00EE7F83">
        <w:t xml:space="preserve">Организатором торгов (аукциона) направляет победителю аукциона или единственному принявшему участие в аукционе его участнику три экземпляра </w:t>
      </w:r>
      <w:r w:rsidRPr="007D647F">
        <w:t xml:space="preserve">подписанного проекта договора </w:t>
      </w:r>
      <w:r w:rsidR="00165383" w:rsidRPr="007D647F">
        <w:t>аренды</w:t>
      </w:r>
      <w:r w:rsidRPr="007D647F">
        <w:t xml:space="preserve"> в десятидневный срок со дня составления протокола о результатах аукциона</w:t>
      </w:r>
      <w:r w:rsidRPr="00EE7F83">
        <w:t>.</w:t>
      </w:r>
    </w:p>
    <w:p w:rsidR="0083181F" w:rsidRPr="00EE7F83" w:rsidRDefault="0083181F" w:rsidP="00801EC1">
      <w:pPr>
        <w:pStyle w:val="ConsPlusNormal"/>
        <w:spacing w:line="276" w:lineRule="auto"/>
        <w:ind w:firstLine="540"/>
        <w:contextualSpacing/>
        <w:jc w:val="both"/>
      </w:pPr>
    </w:p>
    <w:p w:rsidR="00A05070" w:rsidRPr="00EE7F83" w:rsidRDefault="00A05070" w:rsidP="00801EC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F83">
        <w:rPr>
          <w:rFonts w:ascii="Times New Roman" w:hAnsi="Times New Roman" w:cs="Times New Roman"/>
          <w:b/>
          <w:sz w:val="24"/>
          <w:szCs w:val="24"/>
        </w:rPr>
        <w:t>V. Признание торгов несостоявшимися</w:t>
      </w:r>
    </w:p>
    <w:p w:rsidR="00A05070" w:rsidRPr="00EE7F83" w:rsidRDefault="001C52A8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  </w:t>
      </w:r>
      <w:r w:rsidR="00A05070" w:rsidRPr="00EE7F83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случае, если:</w:t>
      </w:r>
    </w:p>
    <w:p w:rsidR="00850F9E" w:rsidRPr="00EE7F83" w:rsidRDefault="00A05070" w:rsidP="00801EC1">
      <w:pPr>
        <w:pStyle w:val="ConsPlusNormal"/>
        <w:spacing w:line="276" w:lineRule="auto"/>
        <w:ind w:firstLine="540"/>
        <w:contextualSpacing/>
        <w:jc w:val="both"/>
        <w:rPr>
          <w:bCs/>
        </w:rPr>
      </w:pPr>
      <w:r w:rsidRPr="00EE7F83">
        <w:t xml:space="preserve">- </w:t>
      </w:r>
      <w:r w:rsidR="00850F9E" w:rsidRPr="00EE7F83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</w:t>
      </w:r>
      <w:r w:rsidR="004C5F00" w:rsidRPr="00EE7F83">
        <w:rPr>
          <w:bCs/>
        </w:rPr>
        <w:t xml:space="preserve"> высокую цену предмета аукциона,</w:t>
      </w:r>
    </w:p>
    <w:p w:rsidR="00A05070" w:rsidRPr="00EE7F83" w:rsidRDefault="00A05070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- </w:t>
      </w:r>
      <w:r w:rsidR="002F0885" w:rsidRPr="00EE7F83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EE7F83">
        <w:rPr>
          <w:rFonts w:ascii="Times New Roman" w:hAnsi="Times New Roman" w:cs="Times New Roman"/>
          <w:sz w:val="24"/>
          <w:szCs w:val="24"/>
        </w:rPr>
        <w:t xml:space="preserve">победитель аукциона уклонился от подписания протокола о результатах аукциона, заключения договора </w:t>
      </w:r>
      <w:r w:rsidR="006B1BD2" w:rsidRPr="00EE7F83">
        <w:rPr>
          <w:rFonts w:ascii="Times New Roman" w:hAnsi="Times New Roman" w:cs="Times New Roman"/>
          <w:sz w:val="24"/>
          <w:szCs w:val="24"/>
        </w:rPr>
        <w:t>аренды</w:t>
      </w:r>
      <w:r w:rsidRPr="00EE7F83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50F9E" w:rsidRDefault="004C5F00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F83">
        <w:rPr>
          <w:rFonts w:ascii="Times New Roman" w:hAnsi="Times New Roman" w:cs="Times New Roman"/>
          <w:sz w:val="24"/>
          <w:szCs w:val="24"/>
        </w:rPr>
        <w:t xml:space="preserve">- </w:t>
      </w:r>
      <w:r w:rsidR="00850F9E" w:rsidRPr="00EE7F83">
        <w:rPr>
          <w:rFonts w:ascii="Times New Roman" w:hAnsi="Times New Roman" w:cs="Times New Roman"/>
          <w:sz w:val="24"/>
          <w:szCs w:val="24"/>
        </w:rPr>
        <w:t>если на основании результатов рассмотрения заявок на участие в аукционе</w:t>
      </w:r>
      <w:r w:rsidR="002F0885" w:rsidRPr="00EE7F83">
        <w:rPr>
          <w:rFonts w:ascii="Times New Roman" w:hAnsi="Times New Roman" w:cs="Times New Roman"/>
          <w:sz w:val="24"/>
          <w:szCs w:val="24"/>
        </w:rPr>
        <w:t>,</w:t>
      </w:r>
      <w:r w:rsidR="00850F9E" w:rsidRPr="00EE7F83">
        <w:rPr>
          <w:rFonts w:ascii="Times New Roman" w:hAnsi="Times New Roman" w:cs="Times New Roman"/>
          <w:sz w:val="24"/>
          <w:szCs w:val="24"/>
        </w:rPr>
        <w:t xml:space="preserve">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EE7F83">
        <w:rPr>
          <w:rFonts w:ascii="Times New Roman" w:hAnsi="Times New Roman" w:cs="Times New Roman"/>
          <w:sz w:val="24"/>
          <w:szCs w:val="24"/>
        </w:rPr>
        <w:t>.</w:t>
      </w:r>
      <w:r w:rsidR="00850F9E" w:rsidRPr="00EE7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1F" w:rsidRPr="00EE7F83" w:rsidRDefault="0083181F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52A8" w:rsidRPr="00EE7F83" w:rsidRDefault="00A40A20" w:rsidP="00801EC1">
      <w:pPr>
        <w:tabs>
          <w:tab w:val="left" w:pos="709"/>
        </w:tabs>
        <w:spacing w:after="0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F8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B1BD2" w:rsidRPr="00EE7F8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E7F8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1C52A8" w:rsidRPr="00EE7F83" w:rsidRDefault="001C52A8" w:rsidP="00801EC1">
      <w:pPr>
        <w:tabs>
          <w:tab w:val="left" w:pos="709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</w:t>
      </w:r>
      <w:r w:rsidR="006B1BD2"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тридцати дней со дня направления победителю аукциона проекта указанного договора не был им подписан и представлен </w:t>
      </w:r>
      <w:r w:rsidR="00A80A3A" w:rsidRPr="00EE7F83">
        <w:rPr>
          <w:rFonts w:ascii="Times New Roman" w:hAnsi="Times New Roman" w:cs="Times New Roman"/>
          <w:sz w:val="24"/>
          <w:szCs w:val="24"/>
        </w:rPr>
        <w:t>Организатору торгов (аукциона)</w:t>
      </w:r>
      <w:r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договор предлагается заключить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C52A8" w:rsidRPr="00EE7F83" w:rsidRDefault="001C52A8" w:rsidP="00801EC1">
      <w:pPr>
        <w:tabs>
          <w:tab w:val="left" w:pos="108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победителях аукционов, уклонившихся от заключения договора </w:t>
      </w:r>
      <w:r w:rsidR="006B1BD2"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являющегося предметом аукциона, и об иных лицах (заявитель </w:t>
      </w:r>
      <w:r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единственный признан участником аукциона; единственный заявитель, в случае признания его и заявки, соответствующими всем требованиям и указанным в извещении о проведении аукциона условиям аукциона; участник, сделавший предпоследнее предложение о цене предмета аукциона), которые уклонились от их заключения, включаются в реестр недобросовестных участников аукциона</w:t>
      </w:r>
      <w:r w:rsidR="00384813" w:rsidRPr="00EE7F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070" w:rsidRPr="00EE7F83" w:rsidRDefault="00A05070" w:rsidP="00801EC1">
      <w:pPr>
        <w:spacing w:after="0"/>
        <w:contextualSpacing/>
        <w:rPr>
          <w:sz w:val="24"/>
          <w:szCs w:val="24"/>
        </w:rPr>
      </w:pPr>
    </w:p>
    <w:p w:rsidR="000669F3" w:rsidRPr="00EE7F83" w:rsidRDefault="000669F3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69F3" w:rsidRPr="00EE7F83" w:rsidRDefault="000669F3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69F3" w:rsidRPr="00EE7F83" w:rsidRDefault="000669F3" w:rsidP="00801EC1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0669F3" w:rsidRPr="00EE7F83" w:rsidSect="0003711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541"/>
    <w:multiLevelType w:val="hybridMultilevel"/>
    <w:tmpl w:val="23749DA4"/>
    <w:lvl w:ilvl="0" w:tplc="0D1C6908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D517E6"/>
    <w:multiLevelType w:val="hybridMultilevel"/>
    <w:tmpl w:val="17A6AC4A"/>
    <w:lvl w:ilvl="0" w:tplc="B40E1A2C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D173389"/>
    <w:multiLevelType w:val="hybridMultilevel"/>
    <w:tmpl w:val="91005358"/>
    <w:lvl w:ilvl="0" w:tplc="99D4F0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E355E"/>
    <w:multiLevelType w:val="hybridMultilevel"/>
    <w:tmpl w:val="53206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8301E0"/>
    <w:multiLevelType w:val="multilevel"/>
    <w:tmpl w:val="5352E8D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5"/>
        </w:tabs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>
    <w:nsid w:val="7FB22E40"/>
    <w:multiLevelType w:val="hybridMultilevel"/>
    <w:tmpl w:val="F76A4B70"/>
    <w:lvl w:ilvl="0" w:tplc="6ED0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03E"/>
    <w:rsid w:val="0001122A"/>
    <w:rsid w:val="00037118"/>
    <w:rsid w:val="000669F3"/>
    <w:rsid w:val="000B1762"/>
    <w:rsid w:val="000F7077"/>
    <w:rsid w:val="00104DDF"/>
    <w:rsid w:val="00111272"/>
    <w:rsid w:val="001125C8"/>
    <w:rsid w:val="001126D2"/>
    <w:rsid w:val="00114FEA"/>
    <w:rsid w:val="00147ABD"/>
    <w:rsid w:val="00163E0E"/>
    <w:rsid w:val="00165383"/>
    <w:rsid w:val="00176871"/>
    <w:rsid w:val="0019366E"/>
    <w:rsid w:val="00196A2E"/>
    <w:rsid w:val="001A62FC"/>
    <w:rsid w:val="001A709F"/>
    <w:rsid w:val="001B3276"/>
    <w:rsid w:val="001C52A8"/>
    <w:rsid w:val="001D6395"/>
    <w:rsid w:val="001F57F9"/>
    <w:rsid w:val="00202488"/>
    <w:rsid w:val="0020313F"/>
    <w:rsid w:val="00227043"/>
    <w:rsid w:val="0023173E"/>
    <w:rsid w:val="002374E6"/>
    <w:rsid w:val="002416A8"/>
    <w:rsid w:val="00241720"/>
    <w:rsid w:val="00254538"/>
    <w:rsid w:val="00254AE2"/>
    <w:rsid w:val="00256E9E"/>
    <w:rsid w:val="00264925"/>
    <w:rsid w:val="00272699"/>
    <w:rsid w:val="002875B5"/>
    <w:rsid w:val="002A6110"/>
    <w:rsid w:val="002B5E14"/>
    <w:rsid w:val="002C78FA"/>
    <w:rsid w:val="002D7C5B"/>
    <w:rsid w:val="002F0885"/>
    <w:rsid w:val="003503B7"/>
    <w:rsid w:val="0036371B"/>
    <w:rsid w:val="00381B94"/>
    <w:rsid w:val="003821CD"/>
    <w:rsid w:val="00384813"/>
    <w:rsid w:val="00386150"/>
    <w:rsid w:val="003A5585"/>
    <w:rsid w:val="003A5C85"/>
    <w:rsid w:val="003B0872"/>
    <w:rsid w:val="003D589B"/>
    <w:rsid w:val="003E5969"/>
    <w:rsid w:val="00421612"/>
    <w:rsid w:val="00435E61"/>
    <w:rsid w:val="00472F6A"/>
    <w:rsid w:val="00496FBB"/>
    <w:rsid w:val="004B7227"/>
    <w:rsid w:val="004C19BC"/>
    <w:rsid w:val="004C35D9"/>
    <w:rsid w:val="004C5F00"/>
    <w:rsid w:val="004E0CDE"/>
    <w:rsid w:val="004F7816"/>
    <w:rsid w:val="00510856"/>
    <w:rsid w:val="00515702"/>
    <w:rsid w:val="0054670F"/>
    <w:rsid w:val="0055725C"/>
    <w:rsid w:val="00594F93"/>
    <w:rsid w:val="005A6BE2"/>
    <w:rsid w:val="005A717B"/>
    <w:rsid w:val="005B2292"/>
    <w:rsid w:val="005D6BFC"/>
    <w:rsid w:val="005E1AC3"/>
    <w:rsid w:val="005F6B6F"/>
    <w:rsid w:val="006073E9"/>
    <w:rsid w:val="00637CAF"/>
    <w:rsid w:val="00656171"/>
    <w:rsid w:val="006816CC"/>
    <w:rsid w:val="006B0CB6"/>
    <w:rsid w:val="006B1BD2"/>
    <w:rsid w:val="006B6790"/>
    <w:rsid w:val="006C7DEC"/>
    <w:rsid w:val="006D2D1E"/>
    <w:rsid w:val="006E3A1C"/>
    <w:rsid w:val="00717B9E"/>
    <w:rsid w:val="00724B70"/>
    <w:rsid w:val="00756BEF"/>
    <w:rsid w:val="00767C47"/>
    <w:rsid w:val="00767EC2"/>
    <w:rsid w:val="00774B81"/>
    <w:rsid w:val="007826D9"/>
    <w:rsid w:val="00792A0A"/>
    <w:rsid w:val="00793EA7"/>
    <w:rsid w:val="007A17FD"/>
    <w:rsid w:val="007A23A2"/>
    <w:rsid w:val="007D647F"/>
    <w:rsid w:val="007F4724"/>
    <w:rsid w:val="008013D4"/>
    <w:rsid w:val="00801EC1"/>
    <w:rsid w:val="0080680F"/>
    <w:rsid w:val="00815430"/>
    <w:rsid w:val="00815D20"/>
    <w:rsid w:val="0083181F"/>
    <w:rsid w:val="00841644"/>
    <w:rsid w:val="00844BFC"/>
    <w:rsid w:val="00846391"/>
    <w:rsid w:val="00850F9E"/>
    <w:rsid w:val="008578E4"/>
    <w:rsid w:val="008B403E"/>
    <w:rsid w:val="008B7D0A"/>
    <w:rsid w:val="008C09AF"/>
    <w:rsid w:val="008C5C9B"/>
    <w:rsid w:val="008E70BF"/>
    <w:rsid w:val="00900A2F"/>
    <w:rsid w:val="00910182"/>
    <w:rsid w:val="00923F6C"/>
    <w:rsid w:val="009243BE"/>
    <w:rsid w:val="0092444E"/>
    <w:rsid w:val="009245C5"/>
    <w:rsid w:val="0094482B"/>
    <w:rsid w:val="0095342C"/>
    <w:rsid w:val="009555FF"/>
    <w:rsid w:val="00967BA0"/>
    <w:rsid w:val="00971807"/>
    <w:rsid w:val="009A0245"/>
    <w:rsid w:val="009D17F8"/>
    <w:rsid w:val="009E01CA"/>
    <w:rsid w:val="009E45F3"/>
    <w:rsid w:val="00A05070"/>
    <w:rsid w:val="00A21661"/>
    <w:rsid w:val="00A33345"/>
    <w:rsid w:val="00A40A20"/>
    <w:rsid w:val="00A416CC"/>
    <w:rsid w:val="00A55FD1"/>
    <w:rsid w:val="00A76135"/>
    <w:rsid w:val="00A80A3A"/>
    <w:rsid w:val="00A83A7F"/>
    <w:rsid w:val="00A91F33"/>
    <w:rsid w:val="00A974D8"/>
    <w:rsid w:val="00AA14BA"/>
    <w:rsid w:val="00AD35F4"/>
    <w:rsid w:val="00AD5264"/>
    <w:rsid w:val="00AF0650"/>
    <w:rsid w:val="00AF26E9"/>
    <w:rsid w:val="00B02199"/>
    <w:rsid w:val="00B02701"/>
    <w:rsid w:val="00B0755F"/>
    <w:rsid w:val="00B22AFC"/>
    <w:rsid w:val="00B2703C"/>
    <w:rsid w:val="00B315F9"/>
    <w:rsid w:val="00B401DD"/>
    <w:rsid w:val="00B42593"/>
    <w:rsid w:val="00B540CF"/>
    <w:rsid w:val="00BB3007"/>
    <w:rsid w:val="00BE7E32"/>
    <w:rsid w:val="00BF0D6A"/>
    <w:rsid w:val="00BF77CB"/>
    <w:rsid w:val="00C1405F"/>
    <w:rsid w:val="00C2382D"/>
    <w:rsid w:val="00C27087"/>
    <w:rsid w:val="00C5245D"/>
    <w:rsid w:val="00C62427"/>
    <w:rsid w:val="00C77DAB"/>
    <w:rsid w:val="00CA5F64"/>
    <w:rsid w:val="00CC5067"/>
    <w:rsid w:val="00CD13B1"/>
    <w:rsid w:val="00CD38E9"/>
    <w:rsid w:val="00CD59B9"/>
    <w:rsid w:val="00CE5962"/>
    <w:rsid w:val="00CE64DE"/>
    <w:rsid w:val="00CF051D"/>
    <w:rsid w:val="00D00F4D"/>
    <w:rsid w:val="00D01352"/>
    <w:rsid w:val="00D042A9"/>
    <w:rsid w:val="00D0640F"/>
    <w:rsid w:val="00D127C4"/>
    <w:rsid w:val="00D242C5"/>
    <w:rsid w:val="00D42E0A"/>
    <w:rsid w:val="00D54A9D"/>
    <w:rsid w:val="00D60B8A"/>
    <w:rsid w:val="00D87B7B"/>
    <w:rsid w:val="00DF569E"/>
    <w:rsid w:val="00E104D4"/>
    <w:rsid w:val="00E159F4"/>
    <w:rsid w:val="00E421CA"/>
    <w:rsid w:val="00E55EC9"/>
    <w:rsid w:val="00E901E0"/>
    <w:rsid w:val="00E91514"/>
    <w:rsid w:val="00E95236"/>
    <w:rsid w:val="00EA614F"/>
    <w:rsid w:val="00EA6951"/>
    <w:rsid w:val="00EB1DFE"/>
    <w:rsid w:val="00ED7787"/>
    <w:rsid w:val="00EE379A"/>
    <w:rsid w:val="00EE7F83"/>
    <w:rsid w:val="00EF16F3"/>
    <w:rsid w:val="00EF585F"/>
    <w:rsid w:val="00F017D5"/>
    <w:rsid w:val="00F150DD"/>
    <w:rsid w:val="00F20EF8"/>
    <w:rsid w:val="00F63C85"/>
    <w:rsid w:val="00F740EF"/>
    <w:rsid w:val="00F80660"/>
    <w:rsid w:val="00F905EB"/>
    <w:rsid w:val="00F95B37"/>
    <w:rsid w:val="00F969A9"/>
    <w:rsid w:val="00FA6918"/>
    <w:rsid w:val="00FB66B8"/>
    <w:rsid w:val="00FE1F15"/>
    <w:rsid w:val="00FE7DFE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6918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6918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524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5245D"/>
  </w:style>
  <w:style w:type="paragraph" w:styleId="2">
    <w:name w:val="Body Text Indent 2"/>
    <w:basedOn w:val="a"/>
    <w:link w:val="20"/>
    <w:uiPriority w:val="99"/>
    <w:semiHidden/>
    <w:unhideWhenUsed/>
    <w:rsid w:val="00C524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245D"/>
  </w:style>
  <w:style w:type="paragraph" w:styleId="3">
    <w:name w:val="Body Text Indent 3"/>
    <w:basedOn w:val="a"/>
    <w:link w:val="30"/>
    <w:uiPriority w:val="99"/>
    <w:semiHidden/>
    <w:unhideWhenUsed/>
    <w:rsid w:val="000669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69F3"/>
    <w:rPr>
      <w:sz w:val="16"/>
      <w:szCs w:val="16"/>
    </w:rPr>
  </w:style>
  <w:style w:type="paragraph" w:customStyle="1" w:styleId="ConsNonformat">
    <w:name w:val="ConsNonformat"/>
    <w:rsid w:val="000669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15F9"/>
    <w:pPr>
      <w:ind w:left="720"/>
      <w:contextualSpacing/>
    </w:pPr>
  </w:style>
  <w:style w:type="character" w:customStyle="1" w:styleId="11">
    <w:name w:val="Основной текст + Полужирный11"/>
    <w:basedOn w:val="a0"/>
    <w:uiPriority w:val="99"/>
    <w:rsid w:val="00EF16F3"/>
    <w:rPr>
      <w:rFonts w:ascii="Segoe UI" w:hAnsi="Segoe UI" w:cs="Segoe UI"/>
      <w:b/>
      <w:bCs/>
      <w:spacing w:val="0"/>
      <w:sz w:val="15"/>
      <w:szCs w:val="15"/>
    </w:rPr>
  </w:style>
  <w:style w:type="paragraph" w:customStyle="1" w:styleId="1">
    <w:name w:val="Обычный1"/>
    <w:rsid w:val="00A05070"/>
    <w:pPr>
      <w:widowControl w:val="0"/>
      <w:spacing w:before="200" w:after="0" w:line="300" w:lineRule="auto"/>
      <w:ind w:left="40" w:right="200" w:firstLine="3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8">
    <w:name w:val="Hyperlink"/>
    <w:uiPriority w:val="99"/>
    <w:rsid w:val="00A05070"/>
    <w:rPr>
      <w:color w:val="0066CC"/>
      <w:u w:val="single"/>
    </w:rPr>
  </w:style>
  <w:style w:type="paragraph" w:customStyle="1" w:styleId="ConsPlusNormal">
    <w:name w:val="ConsPlusNormal"/>
    <w:rsid w:val="003B0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A20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D54A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4A9D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2024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02488"/>
    <w:pPr>
      <w:widowControl w:val="0"/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1"/>
    <w:rsid w:val="00202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ArialNarrow6pt">
    <w:name w:val="Основной текст (10) + Arial Narrow;6 pt;Полужирный"/>
    <w:basedOn w:val="a0"/>
    <w:rsid w:val="00FB66B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6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 Дмитрий Анатольевич</dc:creator>
  <cp:lastModifiedBy>Новичкова Дарья Юрьевна (ТУ в Тверской области)</cp:lastModifiedBy>
  <cp:revision>110</cp:revision>
  <cp:lastPrinted>2021-10-14T10:32:00Z</cp:lastPrinted>
  <dcterms:created xsi:type="dcterms:W3CDTF">2011-07-26T10:56:00Z</dcterms:created>
  <dcterms:modified xsi:type="dcterms:W3CDTF">2021-10-14T10:33:00Z</dcterms:modified>
</cp:coreProperties>
</file>