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87" w:rsidRDefault="0072120D" w:rsidP="00C21387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Отчет</w:t>
      </w:r>
      <w:r w:rsidRPr="0072120D">
        <w:rPr>
          <w:szCs w:val="28"/>
        </w:rPr>
        <w:t xml:space="preserve"> </w:t>
      </w:r>
      <w:r>
        <w:rPr>
          <w:szCs w:val="28"/>
        </w:rPr>
        <w:t>об оценке эффективности</w:t>
      </w:r>
    </w:p>
    <w:p w:rsidR="0072120D" w:rsidRDefault="00C21387" w:rsidP="00C21387">
      <w:pPr>
        <w:ind w:right="-1"/>
        <w:jc w:val="center"/>
        <w:rPr>
          <w:szCs w:val="28"/>
        </w:rPr>
      </w:pPr>
      <w:r>
        <w:rPr>
          <w:szCs w:val="28"/>
        </w:rPr>
        <w:t>реализации муниципальной программы муниципальног</w:t>
      </w:r>
      <w:r w:rsidR="0072120D">
        <w:rPr>
          <w:szCs w:val="28"/>
        </w:rPr>
        <w:t>о образования</w:t>
      </w:r>
    </w:p>
    <w:p w:rsidR="00C21387" w:rsidRDefault="00AC2A36" w:rsidP="00C21387">
      <w:pPr>
        <w:ind w:right="-1"/>
        <w:jc w:val="center"/>
        <w:rPr>
          <w:szCs w:val="28"/>
        </w:rPr>
      </w:pPr>
      <w:r>
        <w:rPr>
          <w:szCs w:val="28"/>
        </w:rPr>
        <w:t xml:space="preserve">Удомельский городской округ </w:t>
      </w:r>
      <w:r w:rsidRPr="000A51C5">
        <w:rPr>
          <w:szCs w:val="28"/>
        </w:rPr>
        <w:t>«</w:t>
      </w:r>
      <w:r>
        <w:rPr>
          <w:szCs w:val="28"/>
        </w:rPr>
        <w:t>Создание условий для экономического</w:t>
      </w:r>
      <w:r w:rsidRPr="000A51C5">
        <w:rPr>
          <w:szCs w:val="28"/>
        </w:rPr>
        <w:t xml:space="preserve"> разви</w:t>
      </w:r>
      <w:r>
        <w:rPr>
          <w:szCs w:val="28"/>
        </w:rPr>
        <w:t>тия Удомельского городского округа на 201</w:t>
      </w:r>
      <w:r w:rsidR="00D626F5">
        <w:rPr>
          <w:szCs w:val="28"/>
        </w:rPr>
        <w:t>9</w:t>
      </w:r>
      <w:r>
        <w:rPr>
          <w:szCs w:val="28"/>
        </w:rPr>
        <w:t xml:space="preserve"> - 20</w:t>
      </w:r>
      <w:r w:rsidR="00C71259">
        <w:rPr>
          <w:szCs w:val="28"/>
        </w:rPr>
        <w:t>2</w:t>
      </w:r>
      <w:r w:rsidR="00D626F5">
        <w:rPr>
          <w:szCs w:val="28"/>
        </w:rPr>
        <w:t>3</w:t>
      </w:r>
      <w:r w:rsidRPr="000A51C5">
        <w:rPr>
          <w:szCs w:val="28"/>
        </w:rPr>
        <w:t xml:space="preserve"> годы</w:t>
      </w:r>
      <w:r>
        <w:rPr>
          <w:szCs w:val="28"/>
        </w:rPr>
        <w:t xml:space="preserve">» </w:t>
      </w:r>
      <w:r w:rsidR="0064423E">
        <w:rPr>
          <w:szCs w:val="28"/>
        </w:rPr>
        <w:t>в 20</w:t>
      </w:r>
      <w:r w:rsidR="002043C4">
        <w:rPr>
          <w:szCs w:val="28"/>
        </w:rPr>
        <w:t>20</w:t>
      </w:r>
      <w:r w:rsidR="0064423E">
        <w:rPr>
          <w:szCs w:val="28"/>
        </w:rPr>
        <w:t xml:space="preserve"> году</w:t>
      </w:r>
    </w:p>
    <w:p w:rsidR="00C21387" w:rsidRDefault="00C21387" w:rsidP="00C21387">
      <w:pPr>
        <w:ind w:right="-1"/>
        <w:jc w:val="center"/>
        <w:rPr>
          <w:szCs w:val="28"/>
        </w:rPr>
      </w:pPr>
    </w:p>
    <w:p w:rsidR="0072120D" w:rsidRDefault="0072120D" w:rsidP="00C71259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Оценка эффективности реализации муниципальной программы муниципального образования Удомельский городской округ «Создание условий для экономического </w:t>
      </w:r>
      <w:r w:rsidRPr="000A51C5">
        <w:rPr>
          <w:szCs w:val="28"/>
        </w:rPr>
        <w:t>разви</w:t>
      </w:r>
      <w:r>
        <w:rPr>
          <w:szCs w:val="28"/>
        </w:rPr>
        <w:t>тия Удомельского городского округа на 201</w:t>
      </w:r>
      <w:r w:rsidR="00F86A91">
        <w:rPr>
          <w:szCs w:val="28"/>
        </w:rPr>
        <w:t>9</w:t>
      </w:r>
      <w:r>
        <w:rPr>
          <w:szCs w:val="28"/>
        </w:rPr>
        <w:t xml:space="preserve"> - 202</w:t>
      </w:r>
      <w:r w:rsidR="00F86A91">
        <w:rPr>
          <w:szCs w:val="28"/>
        </w:rPr>
        <w:t>3</w:t>
      </w:r>
      <w:r w:rsidRPr="000A51C5">
        <w:rPr>
          <w:szCs w:val="28"/>
        </w:rPr>
        <w:t xml:space="preserve"> годы</w:t>
      </w:r>
      <w:r>
        <w:rPr>
          <w:szCs w:val="28"/>
        </w:rPr>
        <w:t>» (далее - Программа)</w:t>
      </w:r>
      <w:r w:rsidR="0064423E">
        <w:rPr>
          <w:szCs w:val="28"/>
        </w:rPr>
        <w:t xml:space="preserve"> в 20</w:t>
      </w:r>
      <w:r w:rsidR="002043C4">
        <w:rPr>
          <w:szCs w:val="28"/>
        </w:rPr>
        <w:t>20</w:t>
      </w:r>
      <w:r w:rsidR="0064423E">
        <w:rPr>
          <w:szCs w:val="28"/>
        </w:rPr>
        <w:t xml:space="preserve"> году</w:t>
      </w:r>
      <w:r>
        <w:rPr>
          <w:szCs w:val="28"/>
        </w:rPr>
        <w:t xml:space="preserve"> проведена в соответствии с </w:t>
      </w:r>
      <w:r w:rsidR="000E7AE9">
        <w:rPr>
          <w:szCs w:val="28"/>
        </w:rPr>
        <w:t xml:space="preserve">Порядком </w:t>
      </w:r>
      <w:r w:rsidRPr="0072120D">
        <w:rPr>
          <w:szCs w:val="28"/>
        </w:rPr>
        <w:t>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</w:t>
      </w:r>
      <w:r w:rsidR="000E7AE9">
        <w:rPr>
          <w:szCs w:val="28"/>
        </w:rPr>
        <w:t xml:space="preserve">, утвержденным постановлением Администрации Удомельского городского округа от </w:t>
      </w:r>
      <w:r w:rsidR="000E7AE9" w:rsidRPr="000E7AE9">
        <w:rPr>
          <w:szCs w:val="28"/>
        </w:rPr>
        <w:t>22.03.2017</w:t>
      </w:r>
      <w:proofErr w:type="gramEnd"/>
      <w:r w:rsidR="0064423E">
        <w:rPr>
          <w:szCs w:val="28"/>
        </w:rPr>
        <w:br/>
      </w:r>
      <w:r w:rsidR="000E7AE9">
        <w:rPr>
          <w:szCs w:val="28"/>
        </w:rPr>
        <w:t>№ 249-па.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Общий объем расходов на реализацию мероприятий Программы составил</w:t>
      </w:r>
      <w:r>
        <w:rPr>
          <w:szCs w:val="28"/>
        </w:rPr>
        <w:br/>
      </w:r>
      <w:r w:rsidRPr="00717A8B">
        <w:rPr>
          <w:szCs w:val="28"/>
        </w:rPr>
        <w:t>9 759,3 тыс. рублей, или 99,9% к плановым бюджетным назначениям</w:t>
      </w:r>
      <w:r>
        <w:rPr>
          <w:szCs w:val="28"/>
        </w:rPr>
        <w:br/>
      </w:r>
      <w:r w:rsidRPr="00717A8B">
        <w:rPr>
          <w:szCs w:val="28"/>
        </w:rPr>
        <w:t>(9 770,2 тыс. рублей).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Плановые значения всех показателей цели Программы достигнуты.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Основные результаты исполнения мероприятий Программы: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1. В рамках подпрограммы 1 «Содействие в развитии сельского хозяйства на территории Удомельского городского округа»: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субсидии на проведение профилактических, противоэпизоотических, </w:t>
      </w:r>
      <w:proofErr w:type="spellStart"/>
      <w:r w:rsidRPr="00717A8B">
        <w:rPr>
          <w:szCs w:val="28"/>
        </w:rPr>
        <w:t>противоинфекционных</w:t>
      </w:r>
      <w:proofErr w:type="spellEnd"/>
      <w:r w:rsidRPr="00717A8B">
        <w:rPr>
          <w:szCs w:val="28"/>
        </w:rPr>
        <w:t xml:space="preserve"> мероприятий» исполнено в объеме 100,0 тыс. рублей, или 100% от плановых бюджетных назначений. Профинансированы расходы 3 сельскохозяйственных кооперативов на проведение вакцинации скота – 459 фактических голов;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«Финансирование расходов на борьбу с борщевиком Сосновского» исполнено в объеме 408,9 тыс. рублей, или 100% от плановых бюджетных назначений. В мае 2020 года были произведены работы по обработке химическим способом земель Центрального и </w:t>
      </w:r>
      <w:proofErr w:type="spellStart"/>
      <w:r w:rsidRPr="00717A8B">
        <w:rPr>
          <w:szCs w:val="28"/>
        </w:rPr>
        <w:t>Молдинского</w:t>
      </w:r>
      <w:proofErr w:type="spellEnd"/>
      <w:r w:rsidRPr="00717A8B">
        <w:rPr>
          <w:szCs w:val="28"/>
        </w:rPr>
        <w:t xml:space="preserve"> территориальных отделов Управления сельскими территориями Администрации Удомельского городского округа. Общая площадь обработанных земель составила 22,81 га;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с/х товаропроизводителям на оказание поддержки по сохранению поголовья с/х животных» исполнено в объеме 499,9 тыс. рублей, или 99,9% от плановых бюджетных назначений. Предоставлены субсидии 2 СПК и 1 ПСХК для приобретения комбикормов на 398 условных голов;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субсидии сельскохозяйственным товаропроизводителям Удомельского городского округа на поддержку животноводства молочного направления» исполнено в объеме 495,0 тыс. рублей, или 100% от плановых бюджетных назначений. Сельскохозяйственными кооперативами </w:t>
      </w:r>
      <w:proofErr w:type="gramStart"/>
      <w:r w:rsidRPr="00717A8B">
        <w:rPr>
          <w:szCs w:val="28"/>
        </w:rPr>
        <w:t>приобретены</w:t>
      </w:r>
      <w:proofErr w:type="gramEnd"/>
      <w:r w:rsidRPr="00717A8B">
        <w:rPr>
          <w:szCs w:val="28"/>
        </w:rPr>
        <w:t xml:space="preserve"> 3 быка-производителя.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2. В рамках подпрограммы 2 «Поддержка средств массовой информации муниципального образования Удомельский городской округ»: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субсидии из бюджета Удомельского  городского округа на поддержку некоммерческих организаций» исполнено в объеме </w:t>
      </w:r>
      <w:r w:rsidRPr="00717A8B">
        <w:rPr>
          <w:szCs w:val="28"/>
        </w:rPr>
        <w:lastRenderedPageBreak/>
        <w:t>300,0 тыс. рублей, или 100% от плановых бюджетных назначений. Выпущено</w:t>
      </w:r>
      <w:r>
        <w:rPr>
          <w:szCs w:val="28"/>
        </w:rPr>
        <w:br/>
      </w:r>
      <w:r w:rsidRPr="00717A8B">
        <w:rPr>
          <w:szCs w:val="28"/>
        </w:rPr>
        <w:t xml:space="preserve">52 номера </w:t>
      </w:r>
      <w:proofErr w:type="spellStart"/>
      <w:r w:rsidRPr="00717A8B">
        <w:rPr>
          <w:szCs w:val="28"/>
        </w:rPr>
        <w:t>Удомельской</w:t>
      </w:r>
      <w:proofErr w:type="spellEnd"/>
      <w:r w:rsidRPr="00717A8B">
        <w:rPr>
          <w:szCs w:val="28"/>
        </w:rPr>
        <w:t xml:space="preserve"> газеты; 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«Оплата услуг массовой информации за размещение информации о деятельности органов местного самоуправления в телевизионном эфире» исполнено в объеме 299,6 тыс. рублей, или 99,9% от плановых бюджетных назначений;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«Оплата услуг средствам массовой информации за размещение информации о деятельности органов местного самоуправления, объявлений о деятельности органов местного самоуправления в радиоэфире» исполнено в объеме 229,9 тыс. рублей, или 95,8% от плановых бюджетных назначений;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«Оплата услуг средствам массовой информации о деятельности органов местного самоуправления, размещение объявлений о деятельности органов местного самоуправления в печатных изданиях» исполнено в объеме</w:t>
      </w:r>
      <w:r>
        <w:rPr>
          <w:szCs w:val="28"/>
        </w:rPr>
        <w:br/>
      </w:r>
      <w:r w:rsidRPr="00717A8B">
        <w:rPr>
          <w:szCs w:val="28"/>
        </w:rPr>
        <w:t>1 251,6 тыс. рублей, или 100% от плановых бюджетных назначений;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мероприятие «Предоставление субсидии из областного бюджета на поддержку некоммерческих организаций» исполнено в объеме 877,9 тыс. рублей, или 100% от плановых бюджетных назначений; 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на развитие материально-технической базы редакций районных и городских газет» исполнено в объеме</w:t>
      </w:r>
      <w:r>
        <w:rPr>
          <w:szCs w:val="28"/>
        </w:rPr>
        <w:br/>
      </w:r>
      <w:r w:rsidRPr="00717A8B">
        <w:rPr>
          <w:szCs w:val="28"/>
        </w:rPr>
        <w:t xml:space="preserve">10,0 тыс. рублей, или 100% от плановых бюджетных назначений. Редакцией </w:t>
      </w:r>
      <w:proofErr w:type="spellStart"/>
      <w:r w:rsidRPr="00717A8B">
        <w:rPr>
          <w:szCs w:val="28"/>
        </w:rPr>
        <w:t>Удомельской</w:t>
      </w:r>
      <w:proofErr w:type="spellEnd"/>
      <w:r w:rsidRPr="00717A8B">
        <w:rPr>
          <w:szCs w:val="28"/>
        </w:rPr>
        <w:t xml:space="preserve"> газеты приобретен компьютер;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на развитие материально-технической базы редакций районных и городских газет за счет средств областного бюджета» исполнено в объеме 75,0 тыс. рублей, или 100% от плановых бюджетных назначений.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3. В рамках подпрограммы 3 «Предоставление субсидий муниципальным унитарным предприятиям на возмещение нормативных затрат, связанных с оказанием ими услуг, юридическим лицам (за исключением субсидий государственным (муниципальным) учреждениям), индивидуальным предпринимателям, оказывающим услуги для граждан»: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юридическим лицам (за исключением субсидий государственным (муниципальным) учреждениям), индивидуальным предпринимателям, оказывающим банно-прачечные услуги для отдельных категорий граждан в городе Удомля» исполнено в объеме 1 060,0 тыс. рублей, или 100% от плановых бюджетных назначений. Предоставлена льгота</w:t>
      </w:r>
      <w:r>
        <w:rPr>
          <w:szCs w:val="28"/>
        </w:rPr>
        <w:br/>
      </w:r>
      <w:r w:rsidRPr="00717A8B">
        <w:rPr>
          <w:szCs w:val="28"/>
        </w:rPr>
        <w:t>333 гражданам;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«Предоставление субсидий муниципальным унитарным предприятиям коммунального хозяйства на возмещение нормативных затрат, связанных с оказанием ими услуг» исполнено в объеме 4 081,9 тыс. рублей, или 99,9% от плановых бюджетных назначений. Предоставлены субсидии</w:t>
      </w:r>
      <w:r>
        <w:rPr>
          <w:szCs w:val="28"/>
        </w:rPr>
        <w:br/>
      </w:r>
      <w:r w:rsidRPr="00717A8B">
        <w:rPr>
          <w:szCs w:val="28"/>
        </w:rPr>
        <w:t>2 муниципальным предприятиям: МУП «</w:t>
      </w:r>
      <w:proofErr w:type="spellStart"/>
      <w:r w:rsidRPr="00717A8B">
        <w:rPr>
          <w:szCs w:val="28"/>
        </w:rPr>
        <w:t>Удомельские</w:t>
      </w:r>
      <w:proofErr w:type="spellEnd"/>
      <w:r w:rsidRPr="00717A8B">
        <w:rPr>
          <w:szCs w:val="28"/>
        </w:rPr>
        <w:t xml:space="preserve"> коммунальные системы», МУП «</w:t>
      </w:r>
      <w:proofErr w:type="spellStart"/>
      <w:r w:rsidRPr="00717A8B">
        <w:rPr>
          <w:szCs w:val="28"/>
        </w:rPr>
        <w:t>Удомельское</w:t>
      </w:r>
      <w:proofErr w:type="spellEnd"/>
      <w:r w:rsidRPr="00717A8B">
        <w:rPr>
          <w:szCs w:val="28"/>
        </w:rPr>
        <w:t xml:space="preserve"> коммунальное хозяйство».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4. Число субъектов малого и среднего предпринимательства, включая индивидуальных предпринимателей, по </w:t>
      </w:r>
      <w:proofErr w:type="spellStart"/>
      <w:r w:rsidRPr="00717A8B">
        <w:rPr>
          <w:szCs w:val="28"/>
        </w:rPr>
        <w:t>Удомельскому</w:t>
      </w:r>
      <w:proofErr w:type="spellEnd"/>
      <w:r w:rsidRPr="00717A8B">
        <w:rPr>
          <w:szCs w:val="28"/>
        </w:rPr>
        <w:t xml:space="preserve"> городскому округу за 2020 год составило 963 единицы.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lastRenderedPageBreak/>
        <w:t>С целью поддержки предпринимателей в 2020 году реализовывались мероприятия подпрограммы 4 «Развитие и поддержка субъектов малого и среднего предпринимательства в Удомельском городском округе».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Основные результаты исполнения мероприятий подпрограммы 4: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«Привлечение субъектов малого и среднего предпринимательства к участию в выставках, ярмарках, конкурсах, мероприятиях, проводимых на территории округа» исполнено в объеме 49,6 тыс. рублей, или 100% от плановых бюджетных назначений. В 2020 году проведены одна тематическая торговая ярмарка в рамках проведения праздника «Масленица», две универсальные ярмарки и одна ярмарка выходного дня «Золотая осень» в связи со сложной эпидемиологической обстановкой в округе. В декабре 2020 года проведен ежегодный конкурс на лучшее праздничное оформление объектов потребительского рынка и услуг, наружное оформление окон, балконов (лоджий) и дворовых территорий жилых домов в преддверии Нового Года. Всего на участие в конкурсе поступило 38 заявок, в том числе от субъектов малого и среднего предпринимательства (на 14 больше, чем в 2019 году). В рамках данного мероприятия произведено поощрение победителей конкурса;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мероприятие «Создание и развитие школы малого и среднего предпринимательства» исполнено в объеме 20,0 тыс. рублей, или 100% от плановых бюджетных назначений. В октябре-ноябре 2020 года АНО «АТЛАНТ» при поддержке Администрации Удомельского городского округа проведен краткосрочный информационный курс «Школа предпринимательства» в объеме</w:t>
      </w:r>
      <w:r>
        <w:rPr>
          <w:szCs w:val="28"/>
        </w:rPr>
        <w:br/>
      </w:r>
      <w:r w:rsidRPr="00717A8B">
        <w:rPr>
          <w:szCs w:val="28"/>
        </w:rPr>
        <w:t>7 обучающих занятий для начинающих и действующих предпринимателей.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В ходе реализации мероприятий Программы все целевые показатели достигнуты, за исключением одного: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1) невыполнение целевого показателя «Количество участников, подавших заявки на получение поручительства в Фонд содействия кредитования малого и среднего предпринимательства Тверской области» связано с отсутствием заинтересованных субъектов МСП. 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Оценка эффективности реализации муниципальной программы осуществляется с помощью следующих критериев: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критерий эффективности реализации муниципальной программы в отчетном периоде;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 xml:space="preserve">- индекс освоения </w:t>
      </w:r>
      <w:proofErr w:type="gramStart"/>
      <w:r w:rsidRPr="00717A8B">
        <w:rPr>
          <w:szCs w:val="28"/>
        </w:rPr>
        <w:t>бюджетных</w:t>
      </w:r>
      <w:proofErr w:type="gramEnd"/>
      <w:r w:rsidRPr="00717A8B">
        <w:rPr>
          <w:szCs w:val="28"/>
        </w:rPr>
        <w:t xml:space="preserve"> средств, выделенных на реализацию муниципальной программы в отчетном периоде;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индекс достижения плановых значений показателей муниципальной программы в отчетном периоде.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По результатам оценки эффективности реализации муниципальной программы принимается одно из следующих решений: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муниципальная программа реализована в отчетном периоде эффективно;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муниципальная программа реализована в отчетном периоде неэффективно;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- 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lastRenderedPageBreak/>
        <w:t xml:space="preserve">Согласно методике </w:t>
      </w:r>
      <w:proofErr w:type="gramStart"/>
      <w:r w:rsidRPr="00717A8B">
        <w:rPr>
          <w:szCs w:val="28"/>
        </w:rPr>
        <w:t>оценки эффективности реализации муниципальной программы муниципального образования</w:t>
      </w:r>
      <w:proofErr w:type="gramEnd"/>
      <w:r w:rsidRPr="00717A8B">
        <w:rPr>
          <w:szCs w:val="28"/>
        </w:rPr>
        <w:t xml:space="preserve"> Удомельский городской округ рассчитаны 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17A8B">
        <w:rPr>
          <w:szCs w:val="28"/>
        </w:rPr>
        <w:t>Индекс освоения бюджетных средств, выделенных на реализацию Программы в отчетном периоде, составил 1, что находится в пределах от 0,8 до 1,2.</w:t>
      </w:r>
      <w:proofErr w:type="gramEnd"/>
    </w:p>
    <w:p w:rsidR="00717A8B" w:rsidRPr="00717A8B" w:rsidRDefault="00717A8B" w:rsidP="00717A8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Индекс достижения плановых значений показателей Программы в отчетном периоде составил 1, что находится в пределах от 0,8 до 1,2.</w:t>
      </w:r>
    </w:p>
    <w:p w:rsidR="002E1D03" w:rsidRPr="006B6AF0" w:rsidRDefault="00717A8B" w:rsidP="006B6A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7A8B">
        <w:rPr>
          <w:szCs w:val="28"/>
        </w:rPr>
        <w:t>Вывод: Программа реализована в отчетном периоде эффективно.</w:t>
      </w:r>
      <w:r w:rsidR="007B2987" w:rsidRPr="007B2987">
        <w:t xml:space="preserve"> </w:t>
      </w:r>
    </w:p>
    <w:p w:rsidR="002E1D03" w:rsidRDefault="002E1D03" w:rsidP="00C21387">
      <w:pPr>
        <w:ind w:right="-1"/>
        <w:jc w:val="both"/>
        <w:rPr>
          <w:sz w:val="24"/>
        </w:rPr>
      </w:pPr>
    </w:p>
    <w:p w:rsidR="007B2987" w:rsidRDefault="007B2987" w:rsidP="00C21387">
      <w:pPr>
        <w:ind w:right="-1"/>
        <w:jc w:val="both"/>
        <w:rPr>
          <w:sz w:val="24"/>
        </w:rPr>
      </w:pPr>
    </w:p>
    <w:p w:rsidR="002E1D03" w:rsidRDefault="002E1D03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924927" w:rsidRDefault="00924927" w:rsidP="00C21387">
      <w:pPr>
        <w:ind w:right="-1"/>
        <w:jc w:val="both"/>
        <w:rPr>
          <w:sz w:val="24"/>
        </w:rPr>
      </w:pPr>
    </w:p>
    <w:p w:rsidR="00FA1A84" w:rsidRDefault="00FA1A84" w:rsidP="00C21387">
      <w:pPr>
        <w:ind w:right="-1"/>
        <w:jc w:val="both"/>
        <w:rPr>
          <w:sz w:val="24"/>
        </w:rPr>
      </w:pPr>
    </w:p>
    <w:p w:rsidR="00316DBC" w:rsidRDefault="00316DBC" w:rsidP="00C21387">
      <w:pPr>
        <w:ind w:right="-1"/>
        <w:jc w:val="both"/>
        <w:rPr>
          <w:sz w:val="24"/>
        </w:rPr>
      </w:pPr>
    </w:p>
    <w:p w:rsidR="00FA1A84" w:rsidRDefault="00FA1A84" w:rsidP="00C21387">
      <w:pPr>
        <w:ind w:right="-1"/>
        <w:jc w:val="both"/>
        <w:rPr>
          <w:sz w:val="24"/>
        </w:rPr>
      </w:pPr>
    </w:p>
    <w:sectPr w:rsidR="00FA1A84" w:rsidSect="00316DBC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1387"/>
    <w:rsid w:val="00050A5D"/>
    <w:rsid w:val="0006103A"/>
    <w:rsid w:val="00070F43"/>
    <w:rsid w:val="000A3399"/>
    <w:rsid w:val="000B22DE"/>
    <w:rsid w:val="000C5556"/>
    <w:rsid w:val="000D0502"/>
    <w:rsid w:val="000D3182"/>
    <w:rsid w:val="000E7AE9"/>
    <w:rsid w:val="00107D92"/>
    <w:rsid w:val="00122F9F"/>
    <w:rsid w:val="001358D7"/>
    <w:rsid w:val="00142244"/>
    <w:rsid w:val="001C6B03"/>
    <w:rsid w:val="001D423D"/>
    <w:rsid w:val="001E77A0"/>
    <w:rsid w:val="00201929"/>
    <w:rsid w:val="002043C4"/>
    <w:rsid w:val="00233251"/>
    <w:rsid w:val="00241CBC"/>
    <w:rsid w:val="00254FCF"/>
    <w:rsid w:val="00263347"/>
    <w:rsid w:val="002E1D03"/>
    <w:rsid w:val="00316DBC"/>
    <w:rsid w:val="003179F3"/>
    <w:rsid w:val="00326DE4"/>
    <w:rsid w:val="00332474"/>
    <w:rsid w:val="0036301F"/>
    <w:rsid w:val="00365808"/>
    <w:rsid w:val="003726F0"/>
    <w:rsid w:val="00390BD6"/>
    <w:rsid w:val="0039444C"/>
    <w:rsid w:val="003A5AAC"/>
    <w:rsid w:val="003A79CD"/>
    <w:rsid w:val="003B2986"/>
    <w:rsid w:val="003C2ABC"/>
    <w:rsid w:val="003F2576"/>
    <w:rsid w:val="00405BD1"/>
    <w:rsid w:val="0042690D"/>
    <w:rsid w:val="00434133"/>
    <w:rsid w:val="004408F3"/>
    <w:rsid w:val="00446674"/>
    <w:rsid w:val="00473ADC"/>
    <w:rsid w:val="004C6BAF"/>
    <w:rsid w:val="004E3110"/>
    <w:rsid w:val="00505E28"/>
    <w:rsid w:val="005210C6"/>
    <w:rsid w:val="00526248"/>
    <w:rsid w:val="00565D44"/>
    <w:rsid w:val="005A1D1F"/>
    <w:rsid w:val="005A40A9"/>
    <w:rsid w:val="0064423E"/>
    <w:rsid w:val="006563D2"/>
    <w:rsid w:val="006631BA"/>
    <w:rsid w:val="00667D1A"/>
    <w:rsid w:val="006A011B"/>
    <w:rsid w:val="006B245E"/>
    <w:rsid w:val="006B6AF0"/>
    <w:rsid w:val="00717A8B"/>
    <w:rsid w:val="0072120D"/>
    <w:rsid w:val="00770D0E"/>
    <w:rsid w:val="007713A2"/>
    <w:rsid w:val="00774FB8"/>
    <w:rsid w:val="007B2987"/>
    <w:rsid w:val="00824649"/>
    <w:rsid w:val="00847CFE"/>
    <w:rsid w:val="008540E0"/>
    <w:rsid w:val="00877B42"/>
    <w:rsid w:val="008A4A6B"/>
    <w:rsid w:val="008A4D0D"/>
    <w:rsid w:val="0091493E"/>
    <w:rsid w:val="00924927"/>
    <w:rsid w:val="00934723"/>
    <w:rsid w:val="00960233"/>
    <w:rsid w:val="0097567D"/>
    <w:rsid w:val="009A566E"/>
    <w:rsid w:val="009B22BF"/>
    <w:rsid w:val="009C42F0"/>
    <w:rsid w:val="009C6EF6"/>
    <w:rsid w:val="009E61F4"/>
    <w:rsid w:val="009F1E17"/>
    <w:rsid w:val="009F622C"/>
    <w:rsid w:val="00A22C3A"/>
    <w:rsid w:val="00A354C3"/>
    <w:rsid w:val="00A4014F"/>
    <w:rsid w:val="00A62811"/>
    <w:rsid w:val="00AC2A36"/>
    <w:rsid w:val="00AD0078"/>
    <w:rsid w:val="00AD3ED8"/>
    <w:rsid w:val="00B06048"/>
    <w:rsid w:val="00B41680"/>
    <w:rsid w:val="00B5167A"/>
    <w:rsid w:val="00B60132"/>
    <w:rsid w:val="00B63DD5"/>
    <w:rsid w:val="00B656D5"/>
    <w:rsid w:val="00B74686"/>
    <w:rsid w:val="00B953CB"/>
    <w:rsid w:val="00BE16DD"/>
    <w:rsid w:val="00BE5805"/>
    <w:rsid w:val="00BE585C"/>
    <w:rsid w:val="00BE5A94"/>
    <w:rsid w:val="00BF4CE2"/>
    <w:rsid w:val="00C05C9A"/>
    <w:rsid w:val="00C06801"/>
    <w:rsid w:val="00C21387"/>
    <w:rsid w:val="00C31012"/>
    <w:rsid w:val="00C32207"/>
    <w:rsid w:val="00C61CCA"/>
    <w:rsid w:val="00C71259"/>
    <w:rsid w:val="00C71714"/>
    <w:rsid w:val="00D04EC8"/>
    <w:rsid w:val="00D06C47"/>
    <w:rsid w:val="00D1096E"/>
    <w:rsid w:val="00D371DB"/>
    <w:rsid w:val="00D41E38"/>
    <w:rsid w:val="00D52F1E"/>
    <w:rsid w:val="00D56B4E"/>
    <w:rsid w:val="00D626F5"/>
    <w:rsid w:val="00D7423F"/>
    <w:rsid w:val="00DC2953"/>
    <w:rsid w:val="00DC58F6"/>
    <w:rsid w:val="00DD1488"/>
    <w:rsid w:val="00E31DFF"/>
    <w:rsid w:val="00E43891"/>
    <w:rsid w:val="00E4481F"/>
    <w:rsid w:val="00E76AD2"/>
    <w:rsid w:val="00E81833"/>
    <w:rsid w:val="00EA16F0"/>
    <w:rsid w:val="00EA428E"/>
    <w:rsid w:val="00ED3E21"/>
    <w:rsid w:val="00F86A91"/>
    <w:rsid w:val="00F87165"/>
    <w:rsid w:val="00FA1A84"/>
    <w:rsid w:val="00FA2DF7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213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1387"/>
  </w:style>
  <w:style w:type="character" w:styleId="a4">
    <w:name w:val="Strong"/>
    <w:basedOn w:val="a0"/>
    <w:qFormat/>
    <w:rsid w:val="00C2138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1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390B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locked/>
    <w:rsid w:val="00390BD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A92A9-3C9A-4B0E-8D94-AE3264E3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oganesan_s</dc:creator>
  <cp:lastModifiedBy>Екатерина А. Вечерова</cp:lastModifiedBy>
  <cp:revision>92</cp:revision>
  <cp:lastPrinted>2018-03-19T13:52:00Z</cp:lastPrinted>
  <dcterms:created xsi:type="dcterms:W3CDTF">2017-05-18T09:19:00Z</dcterms:created>
  <dcterms:modified xsi:type="dcterms:W3CDTF">2021-04-05T05:44:00Z</dcterms:modified>
</cp:coreProperties>
</file>