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7F" w:rsidRPr="00823BFD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FD">
        <w:rPr>
          <w:rFonts w:ascii="Times New Roman" w:hAnsi="Times New Roman" w:cs="Times New Roman"/>
          <w:b/>
          <w:sz w:val="28"/>
          <w:szCs w:val="28"/>
        </w:rPr>
        <w:t>Текстовая часть доклада</w:t>
      </w:r>
    </w:p>
    <w:p w:rsidR="00197782" w:rsidRPr="00823BFD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FD">
        <w:rPr>
          <w:rFonts w:ascii="Times New Roman" w:hAnsi="Times New Roman" w:cs="Times New Roman"/>
          <w:b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Удомельского </w:t>
      </w:r>
      <w:r w:rsidR="00370E4C">
        <w:rPr>
          <w:rFonts w:ascii="Times New Roman" w:hAnsi="Times New Roman" w:cs="Times New Roman"/>
          <w:b/>
          <w:sz w:val="28"/>
          <w:szCs w:val="28"/>
        </w:rPr>
        <w:t>городского округа за</w:t>
      </w:r>
      <w:r w:rsidRPr="00823BF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A05F1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823BFD">
        <w:rPr>
          <w:rFonts w:ascii="Times New Roman" w:hAnsi="Times New Roman" w:cs="Times New Roman"/>
          <w:b/>
          <w:sz w:val="28"/>
          <w:szCs w:val="28"/>
        </w:rPr>
        <w:t>год и их планируемых значениях на 3-х  летний период</w:t>
      </w:r>
    </w:p>
    <w:p w:rsidR="009D597F" w:rsidRPr="00A2629B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97F" w:rsidRDefault="009D597F" w:rsidP="006C7D23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  <w:r w:rsidRPr="00B84622">
        <w:rPr>
          <w:rFonts w:ascii="Times New Roman" w:hAnsi="Times New Roman" w:cs="Times New Roman"/>
          <w:sz w:val="28"/>
          <w:szCs w:val="28"/>
        </w:rPr>
        <w:t>Раздел 1. Экономическое развитие.</w:t>
      </w:r>
    </w:p>
    <w:p w:rsidR="00BD7AC8" w:rsidRPr="00B84622" w:rsidRDefault="00BD7AC8" w:rsidP="006C7D23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D597F" w:rsidRPr="00015847" w:rsidRDefault="009D597F" w:rsidP="006C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847">
        <w:rPr>
          <w:rFonts w:ascii="Times New Roman" w:hAnsi="Times New Roman" w:cs="Times New Roman"/>
          <w:sz w:val="28"/>
          <w:szCs w:val="28"/>
        </w:rPr>
        <w:t xml:space="preserve">Число субъектов малого  и среднего предпринимательства в расчете на 10 тысяч человек населения  по </w:t>
      </w:r>
      <w:proofErr w:type="spellStart"/>
      <w:r w:rsidRPr="00015847">
        <w:rPr>
          <w:rFonts w:ascii="Times New Roman" w:hAnsi="Times New Roman" w:cs="Times New Roman"/>
          <w:sz w:val="28"/>
          <w:szCs w:val="28"/>
        </w:rPr>
        <w:t>Удомельскому</w:t>
      </w:r>
      <w:proofErr w:type="spellEnd"/>
      <w:r w:rsidR="00771882">
        <w:rPr>
          <w:rFonts w:ascii="Times New Roman" w:hAnsi="Times New Roman" w:cs="Times New Roman"/>
          <w:sz w:val="28"/>
          <w:szCs w:val="28"/>
        </w:rPr>
        <w:t xml:space="preserve"> </w:t>
      </w:r>
      <w:r w:rsidR="00370E4C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="003368CC" w:rsidRPr="00015847">
        <w:rPr>
          <w:rFonts w:ascii="Times New Roman" w:hAnsi="Times New Roman" w:cs="Times New Roman"/>
          <w:sz w:val="28"/>
          <w:szCs w:val="28"/>
        </w:rPr>
        <w:t>в 201</w:t>
      </w:r>
      <w:r w:rsidR="006A05F1">
        <w:rPr>
          <w:rFonts w:ascii="Times New Roman" w:hAnsi="Times New Roman" w:cs="Times New Roman"/>
          <w:sz w:val="28"/>
          <w:szCs w:val="28"/>
        </w:rPr>
        <w:t>7</w:t>
      </w:r>
      <w:r w:rsidR="003368CC" w:rsidRPr="00015847">
        <w:rPr>
          <w:rFonts w:ascii="Times New Roman" w:hAnsi="Times New Roman" w:cs="Times New Roman"/>
          <w:sz w:val="28"/>
          <w:szCs w:val="28"/>
        </w:rPr>
        <w:t xml:space="preserve"> году</w:t>
      </w:r>
      <w:r w:rsidR="008C25E9" w:rsidRPr="00015847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6A05F1">
        <w:rPr>
          <w:rFonts w:ascii="Times New Roman" w:hAnsi="Times New Roman" w:cs="Times New Roman"/>
          <w:sz w:val="28"/>
          <w:szCs w:val="28"/>
        </w:rPr>
        <w:t>6</w:t>
      </w:r>
      <w:r w:rsidR="008C25E9" w:rsidRPr="0001584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2545BD" w:rsidRPr="00015847">
        <w:rPr>
          <w:rFonts w:ascii="Times New Roman" w:hAnsi="Times New Roman" w:cs="Times New Roman"/>
          <w:sz w:val="28"/>
          <w:szCs w:val="28"/>
        </w:rPr>
        <w:t>у</w:t>
      </w:r>
      <w:r w:rsidR="007D0C96">
        <w:rPr>
          <w:rFonts w:ascii="Times New Roman" w:hAnsi="Times New Roman" w:cs="Times New Roman"/>
          <w:sz w:val="28"/>
          <w:szCs w:val="28"/>
        </w:rPr>
        <w:t>величилось</w:t>
      </w:r>
      <w:r w:rsidR="00370E4C">
        <w:rPr>
          <w:rFonts w:ascii="Times New Roman" w:hAnsi="Times New Roman" w:cs="Times New Roman"/>
          <w:sz w:val="28"/>
          <w:szCs w:val="28"/>
        </w:rPr>
        <w:t xml:space="preserve"> на </w:t>
      </w:r>
      <w:r w:rsidR="007D0C96">
        <w:rPr>
          <w:rFonts w:ascii="Times New Roman" w:hAnsi="Times New Roman" w:cs="Times New Roman"/>
          <w:sz w:val="28"/>
          <w:szCs w:val="28"/>
        </w:rPr>
        <w:t>7</w:t>
      </w:r>
      <w:r w:rsidR="002545BD" w:rsidRPr="00015847">
        <w:rPr>
          <w:rFonts w:ascii="Times New Roman" w:hAnsi="Times New Roman" w:cs="Times New Roman"/>
          <w:sz w:val="28"/>
          <w:szCs w:val="28"/>
        </w:rPr>
        <w:t xml:space="preserve"> единиц.</w:t>
      </w:r>
      <w:r w:rsidR="00631C36">
        <w:rPr>
          <w:rFonts w:ascii="Times New Roman" w:hAnsi="Times New Roman" w:cs="Times New Roman"/>
          <w:sz w:val="28"/>
          <w:szCs w:val="28"/>
        </w:rPr>
        <w:t xml:space="preserve"> </w:t>
      </w:r>
      <w:r w:rsidR="00BD7AC8" w:rsidRPr="00EB1B97">
        <w:rPr>
          <w:rFonts w:ascii="Times New Roman" w:hAnsi="Times New Roman" w:cs="Times New Roman"/>
          <w:sz w:val="28"/>
          <w:szCs w:val="28"/>
        </w:rPr>
        <w:t>Количество</w:t>
      </w:r>
      <w:r w:rsidR="002545BD" w:rsidRPr="00EB1B97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</w:t>
      </w:r>
      <w:r w:rsidR="00EB1B97" w:rsidRPr="00EB1B97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B21B7F">
        <w:rPr>
          <w:rFonts w:ascii="Times New Roman" w:hAnsi="Times New Roman" w:cs="Times New Roman"/>
          <w:sz w:val="28"/>
          <w:szCs w:val="28"/>
        </w:rPr>
        <w:t>13</w:t>
      </w:r>
      <w:r w:rsidR="006A09EE" w:rsidRPr="00EB1B97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315CEE">
        <w:rPr>
          <w:rFonts w:ascii="Times New Roman" w:hAnsi="Times New Roman" w:cs="Times New Roman"/>
          <w:sz w:val="28"/>
          <w:szCs w:val="28"/>
        </w:rPr>
        <w:t xml:space="preserve"> </w:t>
      </w:r>
      <w:r w:rsidR="003368CC" w:rsidRPr="00EB1B9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3368CC" w:rsidRPr="00EB1B97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EB1B97" w:rsidRPr="00EB1B97">
        <w:rPr>
          <w:rFonts w:ascii="Times New Roman" w:hAnsi="Times New Roman" w:cs="Times New Roman"/>
          <w:sz w:val="28"/>
          <w:szCs w:val="28"/>
        </w:rPr>
        <w:t xml:space="preserve"> не </w:t>
      </w:r>
      <w:r w:rsidR="003368CC" w:rsidRPr="00EB1B97">
        <w:rPr>
          <w:rFonts w:ascii="Times New Roman" w:hAnsi="Times New Roman" w:cs="Times New Roman"/>
          <w:sz w:val="28"/>
          <w:szCs w:val="28"/>
        </w:rPr>
        <w:t>ожидаем</w:t>
      </w:r>
      <w:proofErr w:type="gramEnd"/>
      <w:r w:rsidR="003368CC" w:rsidRPr="00EB1B97">
        <w:rPr>
          <w:rFonts w:ascii="Times New Roman" w:hAnsi="Times New Roman" w:cs="Times New Roman"/>
          <w:sz w:val="28"/>
          <w:szCs w:val="28"/>
        </w:rPr>
        <w:t>, что  произойдет рост индивидуальных предпринимателей</w:t>
      </w:r>
      <w:r w:rsidR="006A09EE" w:rsidRPr="00EB1B97">
        <w:rPr>
          <w:rFonts w:ascii="Times New Roman" w:hAnsi="Times New Roman" w:cs="Times New Roman"/>
          <w:sz w:val="28"/>
          <w:szCs w:val="28"/>
        </w:rPr>
        <w:t>,</w:t>
      </w:r>
      <w:r w:rsidR="00771882">
        <w:rPr>
          <w:rFonts w:ascii="Times New Roman" w:hAnsi="Times New Roman" w:cs="Times New Roman"/>
          <w:sz w:val="28"/>
          <w:szCs w:val="28"/>
        </w:rPr>
        <w:t xml:space="preserve"> </w:t>
      </w:r>
      <w:r w:rsidR="006A09EE" w:rsidRPr="00EB1B97">
        <w:rPr>
          <w:rFonts w:ascii="Times New Roman" w:hAnsi="Times New Roman" w:cs="Times New Roman"/>
          <w:sz w:val="28"/>
          <w:szCs w:val="28"/>
        </w:rPr>
        <w:t xml:space="preserve">а </w:t>
      </w:r>
      <w:r w:rsidR="003368CC" w:rsidRPr="00EB1B97">
        <w:rPr>
          <w:rFonts w:ascii="Times New Roman" w:hAnsi="Times New Roman" w:cs="Times New Roman"/>
          <w:sz w:val="28"/>
          <w:szCs w:val="28"/>
        </w:rPr>
        <w:t xml:space="preserve">число субъектов </w:t>
      </w:r>
      <w:r w:rsidR="00EB1B97" w:rsidRPr="00EB1B97">
        <w:rPr>
          <w:rFonts w:ascii="Times New Roman" w:hAnsi="Times New Roman" w:cs="Times New Roman"/>
          <w:sz w:val="28"/>
          <w:szCs w:val="28"/>
        </w:rPr>
        <w:t xml:space="preserve">возрастет </w:t>
      </w:r>
      <w:r w:rsidR="003368CC" w:rsidRPr="00EB1B97">
        <w:rPr>
          <w:rFonts w:ascii="Times New Roman" w:hAnsi="Times New Roman" w:cs="Times New Roman"/>
          <w:sz w:val="28"/>
          <w:szCs w:val="28"/>
        </w:rPr>
        <w:t>на 10</w:t>
      </w:r>
      <w:r w:rsidR="00771882">
        <w:rPr>
          <w:rFonts w:ascii="Times New Roman" w:hAnsi="Times New Roman" w:cs="Times New Roman"/>
          <w:sz w:val="28"/>
          <w:szCs w:val="28"/>
        </w:rPr>
        <w:t xml:space="preserve"> </w:t>
      </w:r>
      <w:r w:rsidR="003368CC" w:rsidRPr="00EB1B97">
        <w:rPr>
          <w:rFonts w:ascii="Times New Roman" w:hAnsi="Times New Roman" w:cs="Times New Roman"/>
          <w:sz w:val="28"/>
          <w:szCs w:val="28"/>
        </w:rPr>
        <w:t>тыс. человек населения</w:t>
      </w:r>
      <w:r w:rsidR="00EB1B97" w:rsidRPr="00EB1B97">
        <w:rPr>
          <w:rFonts w:ascii="Times New Roman" w:hAnsi="Times New Roman" w:cs="Times New Roman"/>
          <w:sz w:val="28"/>
          <w:szCs w:val="28"/>
        </w:rPr>
        <w:t>.</w:t>
      </w:r>
      <w:r w:rsidR="005F5B06">
        <w:rPr>
          <w:rFonts w:ascii="Times New Roman" w:hAnsi="Times New Roman" w:cs="Times New Roman"/>
          <w:sz w:val="28"/>
          <w:szCs w:val="28"/>
        </w:rPr>
        <w:t xml:space="preserve"> </w:t>
      </w:r>
      <w:r w:rsidR="0088459D" w:rsidRPr="0088459D">
        <w:rPr>
          <w:rFonts w:ascii="Times New Roman" w:hAnsi="Times New Roman" w:cs="Times New Roman"/>
          <w:sz w:val="28"/>
          <w:szCs w:val="28"/>
        </w:rPr>
        <w:t xml:space="preserve">В последние годы просматривается тенденция к снижению </w:t>
      </w:r>
      <w:r w:rsidR="0088459D">
        <w:rPr>
          <w:rFonts w:ascii="Times New Roman" w:hAnsi="Times New Roman" w:cs="Times New Roman"/>
          <w:sz w:val="28"/>
          <w:szCs w:val="28"/>
        </w:rPr>
        <w:t xml:space="preserve">численности населения и </w:t>
      </w:r>
      <w:r w:rsidR="0088459D" w:rsidRPr="0088459D">
        <w:rPr>
          <w:rFonts w:ascii="Times New Roman" w:hAnsi="Times New Roman" w:cs="Times New Roman"/>
          <w:sz w:val="28"/>
          <w:szCs w:val="28"/>
        </w:rPr>
        <w:t>количества индивид</w:t>
      </w:r>
      <w:r w:rsidR="0088459D">
        <w:rPr>
          <w:rFonts w:ascii="Times New Roman" w:hAnsi="Times New Roman" w:cs="Times New Roman"/>
          <w:sz w:val="28"/>
          <w:szCs w:val="28"/>
        </w:rPr>
        <w:t>уальных предпринимателей, но наблюдается небольшой рост</w:t>
      </w:r>
      <w:r w:rsidR="0088459D" w:rsidRPr="0088459D">
        <w:rPr>
          <w:rFonts w:ascii="Times New Roman" w:hAnsi="Times New Roman" w:cs="Times New Roman"/>
          <w:sz w:val="28"/>
          <w:szCs w:val="28"/>
        </w:rPr>
        <w:t xml:space="preserve">  малых и </w:t>
      </w:r>
      <w:proofErr w:type="spellStart"/>
      <w:r w:rsidR="0088459D" w:rsidRPr="0088459D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88459D">
        <w:rPr>
          <w:rFonts w:ascii="Times New Roman" w:hAnsi="Times New Roman" w:cs="Times New Roman"/>
          <w:sz w:val="28"/>
          <w:szCs w:val="28"/>
        </w:rPr>
        <w:t>.</w:t>
      </w:r>
      <w:r w:rsidR="00631C36">
        <w:rPr>
          <w:rFonts w:ascii="Times New Roman" w:hAnsi="Times New Roman" w:cs="Times New Roman"/>
          <w:sz w:val="28"/>
          <w:szCs w:val="28"/>
        </w:rPr>
        <w:t xml:space="preserve"> </w:t>
      </w:r>
      <w:r w:rsidR="008C25E9" w:rsidRPr="00015847">
        <w:rPr>
          <w:rFonts w:ascii="Times New Roman" w:hAnsi="Times New Roman" w:cs="Times New Roman"/>
          <w:sz w:val="28"/>
          <w:szCs w:val="28"/>
        </w:rPr>
        <w:t>Д</w:t>
      </w:r>
      <w:r w:rsidR="003368CC" w:rsidRPr="00015847">
        <w:rPr>
          <w:rFonts w:ascii="Times New Roman" w:hAnsi="Times New Roman" w:cs="Times New Roman"/>
          <w:sz w:val="28"/>
          <w:szCs w:val="28"/>
        </w:rPr>
        <w:t>о</w:t>
      </w:r>
      <w:r w:rsidR="004444EE">
        <w:rPr>
          <w:rFonts w:ascii="Times New Roman" w:hAnsi="Times New Roman" w:cs="Times New Roman"/>
          <w:sz w:val="28"/>
          <w:szCs w:val="28"/>
        </w:rPr>
        <w:t>ля среднесписочной численности</w:t>
      </w:r>
      <w:r w:rsidR="003368CC" w:rsidRPr="00015847">
        <w:rPr>
          <w:rFonts w:ascii="Times New Roman" w:hAnsi="Times New Roman" w:cs="Times New Roman"/>
          <w:sz w:val="28"/>
          <w:szCs w:val="28"/>
        </w:rPr>
        <w:t xml:space="preserve"> работни</w:t>
      </w:r>
      <w:r w:rsidR="004444EE">
        <w:rPr>
          <w:rFonts w:ascii="Times New Roman" w:hAnsi="Times New Roman" w:cs="Times New Roman"/>
          <w:sz w:val="28"/>
          <w:szCs w:val="28"/>
        </w:rPr>
        <w:t>ков малых и средних  предприятиях</w:t>
      </w:r>
      <w:r w:rsidR="003368CC" w:rsidRPr="00015847">
        <w:rPr>
          <w:rFonts w:ascii="Times New Roman" w:hAnsi="Times New Roman" w:cs="Times New Roman"/>
          <w:sz w:val="28"/>
          <w:szCs w:val="28"/>
        </w:rPr>
        <w:t xml:space="preserve"> в 201</w:t>
      </w:r>
      <w:r w:rsidR="0088459D">
        <w:rPr>
          <w:rFonts w:ascii="Times New Roman" w:hAnsi="Times New Roman" w:cs="Times New Roman"/>
          <w:sz w:val="28"/>
          <w:szCs w:val="28"/>
        </w:rPr>
        <w:t>7</w:t>
      </w:r>
      <w:r w:rsidR="004444E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8459D">
        <w:rPr>
          <w:rFonts w:ascii="Times New Roman" w:hAnsi="Times New Roman" w:cs="Times New Roman"/>
          <w:sz w:val="28"/>
          <w:szCs w:val="28"/>
        </w:rPr>
        <w:t>осталась на уровне 2016 года</w:t>
      </w:r>
      <w:r w:rsidR="003368CC" w:rsidRPr="00EB1B97">
        <w:rPr>
          <w:rFonts w:ascii="Times New Roman" w:hAnsi="Times New Roman" w:cs="Times New Roman"/>
          <w:sz w:val="28"/>
          <w:szCs w:val="28"/>
        </w:rPr>
        <w:t>.</w:t>
      </w:r>
      <w:r w:rsidR="005F5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B50" w:rsidRPr="00015847" w:rsidRDefault="00B57B50" w:rsidP="00B57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6A09EE" w:rsidRPr="00015847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4444EE">
        <w:rPr>
          <w:rFonts w:ascii="Times New Roman" w:hAnsi="Times New Roman" w:cs="Times New Roman"/>
          <w:sz w:val="28"/>
          <w:szCs w:val="28"/>
        </w:rPr>
        <w:t xml:space="preserve">большое внимание развитию </w:t>
      </w:r>
      <w:r w:rsidR="006A09EE" w:rsidRPr="00015847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F00BC9">
        <w:rPr>
          <w:rFonts w:ascii="Times New Roman" w:hAnsi="Times New Roman" w:cs="Times New Roman"/>
          <w:sz w:val="28"/>
          <w:szCs w:val="28"/>
        </w:rPr>
        <w:t>.</w:t>
      </w:r>
      <w:r w:rsidR="0063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898" w:rsidRPr="00A82898">
        <w:rPr>
          <w:rFonts w:ascii="Times New Roman" w:hAnsi="Times New Roman" w:cs="Times New Roman"/>
          <w:sz w:val="28"/>
          <w:szCs w:val="28"/>
        </w:rPr>
        <w:t>Встреча, посвященная стратегии развития малого и среднего предпринимательства на «атомных» территориях, состоялась 15 марта 2018 г</w:t>
      </w:r>
      <w:r w:rsidR="00A82898">
        <w:rPr>
          <w:rFonts w:ascii="Times New Roman" w:hAnsi="Times New Roman" w:cs="Times New Roman"/>
          <w:sz w:val="28"/>
          <w:szCs w:val="28"/>
        </w:rPr>
        <w:t xml:space="preserve">ода - </w:t>
      </w:r>
      <w:r w:rsidR="00A82898" w:rsidRPr="00A82898">
        <w:rPr>
          <w:rFonts w:ascii="Times New Roman" w:hAnsi="Times New Roman" w:cs="Times New Roman"/>
          <w:sz w:val="28"/>
          <w:szCs w:val="28"/>
        </w:rPr>
        <w:t xml:space="preserve">Удомля стала первым моногородом, в котором представители </w:t>
      </w:r>
      <w:proofErr w:type="spellStart"/>
      <w:r w:rsidR="00A82898" w:rsidRPr="00A82898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="00A82898" w:rsidRPr="00A82898">
        <w:rPr>
          <w:rFonts w:ascii="Times New Roman" w:hAnsi="Times New Roman" w:cs="Times New Roman"/>
          <w:sz w:val="28"/>
          <w:szCs w:val="28"/>
        </w:rPr>
        <w:t xml:space="preserve">, Фонда развития моногородов, Законодательного собрания Тверской области, </w:t>
      </w:r>
      <w:r w:rsidR="00A828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82898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A82898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A82898" w:rsidRPr="00A82898">
        <w:rPr>
          <w:rFonts w:ascii="Times New Roman" w:hAnsi="Times New Roman" w:cs="Times New Roman"/>
          <w:sz w:val="28"/>
          <w:szCs w:val="28"/>
        </w:rPr>
        <w:t>корпорации малого и среднего бизнеса обсудили актуальные проблемы бизнес сообщества</w:t>
      </w:r>
      <w:r w:rsidR="00A82898">
        <w:rPr>
          <w:rFonts w:ascii="Times New Roman" w:hAnsi="Times New Roman" w:cs="Times New Roman"/>
          <w:sz w:val="28"/>
          <w:szCs w:val="28"/>
        </w:rPr>
        <w:t xml:space="preserve">, </w:t>
      </w:r>
      <w:r w:rsidR="00A82898" w:rsidRPr="00A82898">
        <w:rPr>
          <w:rFonts w:ascii="Times New Roman" w:hAnsi="Times New Roman" w:cs="Times New Roman"/>
          <w:sz w:val="28"/>
          <w:szCs w:val="28"/>
        </w:rPr>
        <w:t>создание новых площадок, а также возможность расширения имеющегося производства.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97">
        <w:rPr>
          <w:rFonts w:ascii="Times New Roman" w:hAnsi="Times New Roman" w:cs="Times New Roman"/>
          <w:sz w:val="28"/>
          <w:szCs w:val="28"/>
        </w:rPr>
        <w:t>На плановый период ожидаем, что данный показатель будет возрастать из-за строительства новых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EB1B97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B1B9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пуска 1 очереди </w:t>
      </w:r>
      <w:r w:rsidRPr="0088459D">
        <w:rPr>
          <w:rFonts w:ascii="Times New Roman" w:hAnsi="Times New Roman" w:cs="Times New Roman"/>
          <w:sz w:val="28"/>
          <w:szCs w:val="28"/>
        </w:rPr>
        <w:t>Опорного центра обработки и хранения данных (ЦОД)</w:t>
      </w:r>
      <w:r w:rsidRPr="00EB1B97">
        <w:rPr>
          <w:rFonts w:ascii="Times New Roman" w:hAnsi="Times New Roman" w:cs="Times New Roman"/>
          <w:sz w:val="28"/>
          <w:szCs w:val="28"/>
        </w:rPr>
        <w:t>.</w:t>
      </w:r>
    </w:p>
    <w:p w:rsidR="007501DD" w:rsidRDefault="00421FF3" w:rsidP="00750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597D" w:rsidRPr="00015847">
        <w:rPr>
          <w:rFonts w:ascii="Times New Roman" w:hAnsi="Times New Roman" w:cs="Times New Roman"/>
          <w:sz w:val="28"/>
          <w:szCs w:val="28"/>
        </w:rPr>
        <w:t>Об</w:t>
      </w:r>
      <w:r w:rsidR="004B0F66" w:rsidRPr="00015847">
        <w:rPr>
          <w:rFonts w:ascii="Times New Roman" w:hAnsi="Times New Roman" w:cs="Times New Roman"/>
          <w:sz w:val="28"/>
          <w:szCs w:val="28"/>
        </w:rPr>
        <w:t>ъем инвестиций в основной капитал в расчете на 1 жителя Удомельского района  в  201</w:t>
      </w:r>
      <w:r w:rsidR="00A54331">
        <w:rPr>
          <w:rFonts w:ascii="Times New Roman" w:hAnsi="Times New Roman" w:cs="Times New Roman"/>
          <w:sz w:val="28"/>
          <w:szCs w:val="28"/>
        </w:rPr>
        <w:t>7</w:t>
      </w:r>
      <w:r w:rsidR="00B111CD">
        <w:rPr>
          <w:rFonts w:ascii="Times New Roman" w:hAnsi="Times New Roman" w:cs="Times New Roman"/>
          <w:sz w:val="28"/>
          <w:szCs w:val="28"/>
        </w:rPr>
        <w:t xml:space="preserve"> году</w:t>
      </w:r>
      <w:r w:rsidR="00631C36">
        <w:rPr>
          <w:rFonts w:ascii="Times New Roman" w:hAnsi="Times New Roman" w:cs="Times New Roman"/>
          <w:sz w:val="28"/>
          <w:szCs w:val="28"/>
        </w:rPr>
        <w:t xml:space="preserve"> </w:t>
      </w:r>
      <w:r w:rsidR="00B111CD">
        <w:rPr>
          <w:rFonts w:ascii="Times New Roman" w:hAnsi="Times New Roman" w:cs="Times New Roman"/>
          <w:sz w:val="28"/>
          <w:szCs w:val="28"/>
        </w:rPr>
        <w:t>у</w:t>
      </w:r>
      <w:r w:rsidR="00A54331">
        <w:rPr>
          <w:rFonts w:ascii="Times New Roman" w:hAnsi="Times New Roman" w:cs="Times New Roman"/>
          <w:sz w:val="28"/>
          <w:szCs w:val="28"/>
        </w:rPr>
        <w:t>меньшился</w:t>
      </w:r>
      <w:r w:rsidR="00631C36">
        <w:rPr>
          <w:rFonts w:ascii="Times New Roman" w:hAnsi="Times New Roman" w:cs="Times New Roman"/>
          <w:sz w:val="28"/>
          <w:szCs w:val="28"/>
        </w:rPr>
        <w:t xml:space="preserve"> </w:t>
      </w:r>
      <w:r w:rsidR="002705BE" w:rsidRPr="00015847">
        <w:rPr>
          <w:rFonts w:ascii="Times New Roman" w:hAnsi="Times New Roman" w:cs="Times New Roman"/>
          <w:sz w:val="28"/>
          <w:szCs w:val="28"/>
        </w:rPr>
        <w:t>к уровню 201</w:t>
      </w:r>
      <w:r w:rsidR="00A54331">
        <w:rPr>
          <w:rFonts w:ascii="Times New Roman" w:hAnsi="Times New Roman" w:cs="Times New Roman"/>
          <w:sz w:val="28"/>
          <w:szCs w:val="28"/>
        </w:rPr>
        <w:t>6</w:t>
      </w:r>
      <w:r w:rsidR="002705BE" w:rsidRPr="00015847">
        <w:rPr>
          <w:rFonts w:ascii="Times New Roman" w:hAnsi="Times New Roman" w:cs="Times New Roman"/>
          <w:sz w:val="28"/>
          <w:szCs w:val="28"/>
        </w:rPr>
        <w:t xml:space="preserve"> года  на </w:t>
      </w:r>
      <w:r w:rsidR="00B111CD">
        <w:rPr>
          <w:rFonts w:ascii="Times New Roman" w:hAnsi="Times New Roman" w:cs="Times New Roman"/>
          <w:sz w:val="28"/>
          <w:szCs w:val="28"/>
        </w:rPr>
        <w:t>1</w:t>
      </w:r>
      <w:r w:rsidR="00A54331">
        <w:rPr>
          <w:rFonts w:ascii="Times New Roman" w:hAnsi="Times New Roman" w:cs="Times New Roman"/>
          <w:sz w:val="28"/>
          <w:szCs w:val="28"/>
        </w:rPr>
        <w:t>4</w:t>
      </w:r>
      <w:r w:rsidR="00B111CD">
        <w:rPr>
          <w:rFonts w:ascii="Times New Roman" w:hAnsi="Times New Roman" w:cs="Times New Roman"/>
          <w:sz w:val="28"/>
          <w:szCs w:val="28"/>
        </w:rPr>
        <w:t>,</w:t>
      </w:r>
      <w:r w:rsidR="00A54331">
        <w:rPr>
          <w:rFonts w:ascii="Times New Roman" w:hAnsi="Times New Roman" w:cs="Times New Roman"/>
          <w:sz w:val="28"/>
          <w:szCs w:val="28"/>
        </w:rPr>
        <w:t>4</w:t>
      </w:r>
      <w:r w:rsidR="002705BE" w:rsidRPr="00015847">
        <w:rPr>
          <w:rFonts w:ascii="Times New Roman" w:hAnsi="Times New Roman" w:cs="Times New Roman"/>
          <w:sz w:val="28"/>
          <w:szCs w:val="28"/>
        </w:rPr>
        <w:t>%</w:t>
      </w:r>
      <w:r w:rsidR="00A54331">
        <w:rPr>
          <w:rFonts w:ascii="Times New Roman" w:hAnsi="Times New Roman" w:cs="Times New Roman"/>
          <w:sz w:val="28"/>
          <w:szCs w:val="28"/>
        </w:rPr>
        <w:t xml:space="preserve"> -</w:t>
      </w:r>
      <w:r w:rsidR="002705BE" w:rsidRPr="00015847">
        <w:rPr>
          <w:rFonts w:ascii="Times New Roman" w:hAnsi="Times New Roman" w:cs="Times New Roman"/>
          <w:sz w:val="28"/>
          <w:szCs w:val="28"/>
        </w:rPr>
        <w:t xml:space="preserve"> это связано  </w:t>
      </w:r>
      <w:r w:rsidR="00A2629B" w:rsidRPr="007B05BD">
        <w:rPr>
          <w:rFonts w:ascii="Times New Roman" w:hAnsi="Times New Roman" w:cs="Times New Roman"/>
          <w:sz w:val="28"/>
          <w:szCs w:val="28"/>
        </w:rPr>
        <w:t>с тем, что в 201</w:t>
      </w:r>
      <w:r w:rsidR="002C168E" w:rsidRPr="007B05BD">
        <w:rPr>
          <w:rFonts w:ascii="Times New Roman" w:hAnsi="Times New Roman" w:cs="Times New Roman"/>
          <w:sz w:val="28"/>
          <w:szCs w:val="28"/>
        </w:rPr>
        <w:t>7</w:t>
      </w:r>
      <w:r w:rsidR="00A2629B" w:rsidRPr="007B05BD">
        <w:rPr>
          <w:rFonts w:ascii="Times New Roman" w:hAnsi="Times New Roman" w:cs="Times New Roman"/>
          <w:sz w:val="28"/>
          <w:szCs w:val="28"/>
        </w:rPr>
        <w:t xml:space="preserve"> году закончилась проектная служба энергоблока № </w:t>
      </w:r>
      <w:r w:rsidR="004A5805" w:rsidRPr="007B05BD">
        <w:rPr>
          <w:rFonts w:ascii="Times New Roman" w:hAnsi="Times New Roman" w:cs="Times New Roman"/>
          <w:sz w:val="28"/>
          <w:szCs w:val="28"/>
        </w:rPr>
        <w:t xml:space="preserve">2 и на </w:t>
      </w:r>
      <w:r w:rsidR="00A54331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4A5805" w:rsidRPr="007B05BD">
        <w:rPr>
          <w:rFonts w:ascii="Times New Roman" w:hAnsi="Times New Roman" w:cs="Times New Roman"/>
          <w:sz w:val="28"/>
          <w:szCs w:val="28"/>
        </w:rPr>
        <w:t xml:space="preserve">энергоблоке    проведен  длительный капитальный ремонт для </w:t>
      </w:r>
      <w:r w:rsidR="00A2629B" w:rsidRPr="007B05BD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A54331">
        <w:rPr>
          <w:rFonts w:ascii="Times New Roman" w:hAnsi="Times New Roman" w:cs="Times New Roman"/>
          <w:sz w:val="28"/>
          <w:szCs w:val="28"/>
        </w:rPr>
        <w:t>его</w:t>
      </w:r>
      <w:r w:rsidR="00A2629B" w:rsidRPr="007B05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2629B" w:rsidRPr="007B05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629B" w:rsidRPr="007B05BD">
        <w:rPr>
          <w:rFonts w:ascii="Times New Roman" w:hAnsi="Times New Roman" w:cs="Times New Roman"/>
          <w:sz w:val="28"/>
          <w:szCs w:val="28"/>
        </w:rPr>
        <w:t xml:space="preserve"> состояние, соответствующее требованиям действующей в атомной энерг</w:t>
      </w:r>
      <w:r w:rsidR="00A54331">
        <w:rPr>
          <w:rFonts w:ascii="Times New Roman" w:hAnsi="Times New Roman" w:cs="Times New Roman"/>
          <w:sz w:val="28"/>
          <w:szCs w:val="28"/>
        </w:rPr>
        <w:t xml:space="preserve">етике нормативной документации  </w:t>
      </w:r>
      <w:r w:rsidR="00A2629B" w:rsidRPr="007B05BD">
        <w:rPr>
          <w:rFonts w:ascii="Times New Roman" w:hAnsi="Times New Roman" w:cs="Times New Roman"/>
          <w:sz w:val="28"/>
          <w:szCs w:val="28"/>
        </w:rPr>
        <w:t>и продления срока эксплуатации на  25-30 лет</w:t>
      </w:r>
      <w:r w:rsidR="004A5805" w:rsidRPr="007B05BD">
        <w:rPr>
          <w:rFonts w:ascii="Times New Roman" w:hAnsi="Times New Roman" w:cs="Times New Roman"/>
          <w:sz w:val="28"/>
          <w:szCs w:val="28"/>
        </w:rPr>
        <w:t>.</w:t>
      </w:r>
      <w:r w:rsidR="00631C36">
        <w:rPr>
          <w:rFonts w:ascii="Times New Roman" w:hAnsi="Times New Roman" w:cs="Times New Roman"/>
          <w:sz w:val="28"/>
          <w:szCs w:val="28"/>
        </w:rPr>
        <w:t xml:space="preserve"> </w:t>
      </w:r>
      <w:r w:rsidR="007501DD">
        <w:rPr>
          <w:rFonts w:ascii="Times New Roman" w:hAnsi="Times New Roman" w:cs="Times New Roman"/>
          <w:sz w:val="28"/>
          <w:szCs w:val="28"/>
        </w:rPr>
        <w:t xml:space="preserve">В 2018 году объем инвестиций в основной капитал </w:t>
      </w:r>
      <w:proofErr w:type="spellStart"/>
      <w:r w:rsidR="007501D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7501DD">
        <w:rPr>
          <w:rFonts w:ascii="Times New Roman" w:hAnsi="Times New Roman" w:cs="Times New Roman"/>
          <w:sz w:val="28"/>
          <w:szCs w:val="28"/>
        </w:rPr>
        <w:t xml:space="preserve"> городского округа планируется со снижением по сравнению  с 2017 годом, что связано в большей степени с уменьшением инвестиционных вложений Калининской АЭС в рамках проекта по продлению сроков эксплуатации энергоблоков.</w:t>
      </w:r>
    </w:p>
    <w:p w:rsidR="007501DD" w:rsidRDefault="007501DD" w:rsidP="00750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6A8">
        <w:rPr>
          <w:rFonts w:ascii="Times New Roman" w:hAnsi="Times New Roman" w:cs="Times New Roman"/>
          <w:sz w:val="28"/>
          <w:szCs w:val="28"/>
        </w:rPr>
        <w:t xml:space="preserve">В 2019 году планируется значительное увеличение </w:t>
      </w:r>
      <w:r>
        <w:rPr>
          <w:rFonts w:ascii="Times New Roman" w:hAnsi="Times New Roman" w:cs="Times New Roman"/>
          <w:sz w:val="28"/>
          <w:szCs w:val="28"/>
        </w:rPr>
        <w:t xml:space="preserve"> объема инвестиций связанное</w:t>
      </w:r>
      <w:r w:rsidRPr="00AE26A8">
        <w:rPr>
          <w:rFonts w:ascii="Times New Roman" w:hAnsi="Times New Roman" w:cs="Times New Roman"/>
          <w:sz w:val="28"/>
          <w:szCs w:val="28"/>
        </w:rPr>
        <w:t xml:space="preserve"> с реализацией мероприятий по реконструкции и модернизации энергоблоков Калининской АЭС.</w:t>
      </w:r>
      <w:r w:rsidR="00631C36">
        <w:rPr>
          <w:rFonts w:ascii="Times New Roman" w:hAnsi="Times New Roman" w:cs="Times New Roman"/>
          <w:sz w:val="28"/>
          <w:szCs w:val="28"/>
        </w:rPr>
        <w:t xml:space="preserve"> </w:t>
      </w:r>
      <w:r w:rsidRPr="00AE26A8">
        <w:rPr>
          <w:rFonts w:ascii="Times New Roman" w:hAnsi="Times New Roman" w:cs="Times New Roman"/>
          <w:sz w:val="28"/>
          <w:szCs w:val="28"/>
        </w:rPr>
        <w:t xml:space="preserve">В 2020 году </w:t>
      </w:r>
      <w:proofErr w:type="gramStart"/>
      <w:r w:rsidRPr="00AE26A8">
        <w:rPr>
          <w:rFonts w:ascii="Times New Roman" w:hAnsi="Times New Roman" w:cs="Times New Roman"/>
          <w:sz w:val="28"/>
          <w:szCs w:val="28"/>
        </w:rPr>
        <w:t>произойдет уменьшение объема инвестиций по сравнению с предыдущим периодом объясняется</w:t>
      </w:r>
      <w:proofErr w:type="gramEnd"/>
      <w:r w:rsidRPr="00AE26A8">
        <w:rPr>
          <w:rFonts w:ascii="Times New Roman" w:hAnsi="Times New Roman" w:cs="Times New Roman"/>
          <w:sz w:val="28"/>
          <w:szCs w:val="28"/>
        </w:rPr>
        <w:t xml:space="preserve"> это завершением  в 2019 году проекта «Продление срока эксплуатации энергоблока № 1 Калининской АЭС».</w:t>
      </w:r>
    </w:p>
    <w:p w:rsidR="002705BE" w:rsidRPr="00015847" w:rsidRDefault="002705BE" w:rsidP="006C7D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FF3" w:rsidRDefault="00530400" w:rsidP="006C7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проект </w:t>
      </w:r>
      <w:r w:rsidR="0077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строительству </w:t>
      </w:r>
      <w:proofErr w:type="gramStart"/>
      <w:r w:rsidR="00776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дата-центра</w:t>
      </w:r>
      <w:proofErr w:type="gramEnd"/>
      <w:r w:rsidR="0077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 </w:t>
      </w:r>
      <w:r w:rsidR="0077623C" w:rsidRPr="0077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вблизи  Калининской АЭС </w:t>
      </w:r>
      <w:r w:rsidR="0077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</w:t>
      </w:r>
      <w:r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776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овыватьс</w:t>
      </w:r>
      <w:r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рамках программы «Развитие мощностей Центра обр</w:t>
      </w:r>
      <w:r w:rsidR="0076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аботки и хранения данных (ЦОД) </w:t>
      </w:r>
      <w:r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«Концерн Росэнергоатом»</w:t>
      </w:r>
      <w:r w:rsidR="0077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2018 году.</w:t>
      </w:r>
      <w:r w:rsidR="0063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23C" w:rsidRPr="00776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осуществляется в 4-е этапа с поэтапным вводом в эксплуатацию.</w:t>
      </w:r>
      <w:r w:rsidR="0063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7D4"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строительных работ  планируется </w:t>
      </w:r>
      <w:r w:rsidR="00776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</w:t>
      </w:r>
      <w:r w:rsidR="00631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9347D4" w:rsidRPr="0001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1FF3" w:rsidRDefault="004A4D55" w:rsidP="006C7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Общая площадь территории </w:t>
      </w:r>
      <w:proofErr w:type="spellStart"/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Удомельского</w:t>
      </w:r>
      <w:proofErr w:type="spellEnd"/>
      <w:r w:rsidR="00631C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168E"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административных границах составляет 247</w:t>
      </w:r>
      <w:r w:rsidR="007C4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626 </w:t>
      </w:r>
      <w:r w:rsidR="00036D25"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</w:t>
      </w:r>
      <w:r w:rsidR="007C4C89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 сельская территория составляет 246 494 га, территория города Удомля – 1 132 га.</w:t>
      </w:r>
    </w:p>
    <w:p w:rsidR="00421FF3" w:rsidRDefault="004A4D55" w:rsidP="006C7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Площадь земельных участков, являющихся объектами налогообложения земельным налогом от общей территории городского округа (муниципального района)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 28%.</w:t>
      </w:r>
    </w:p>
    <w:p w:rsidR="004A4D55" w:rsidRPr="00421FF3" w:rsidRDefault="004A4D55" w:rsidP="006C7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общей территории городского округа подлежат налогообложению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68</w:t>
      </w:r>
      <w:r w:rsidR="00631C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964 га, из них: </w:t>
      </w:r>
    </w:p>
    <w:p w:rsidR="004A4D55" w:rsidRPr="00036D25" w:rsidRDefault="004A4D55" w:rsidP="006C7D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земли сельскохозяйственного назначения </w:t>
      </w:r>
      <w:r w:rsidR="007C4C89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61</w:t>
      </w:r>
      <w:r w:rsidR="00631C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224 га;</w:t>
      </w:r>
    </w:p>
    <w:p w:rsidR="004A4D55" w:rsidRPr="00036D25" w:rsidRDefault="004A4D55" w:rsidP="006C7D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-земли промышленности, транспорта, энергетики …. и иного специального назначения </w:t>
      </w:r>
      <w:r w:rsidR="007C4C89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="00631C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197 га;</w:t>
      </w:r>
    </w:p>
    <w:p w:rsidR="004A4D55" w:rsidRPr="00015847" w:rsidRDefault="004A4D55" w:rsidP="006C7D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-  земельные участки, расположенные на территории сельских населенных пунктов – 4</w:t>
      </w:r>
      <w:r w:rsidR="00631C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554 га;</w:t>
      </w:r>
    </w:p>
    <w:p w:rsidR="00421FF3" w:rsidRDefault="004A4D55" w:rsidP="006C7D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земельные участки, </w:t>
      </w:r>
      <w:r w:rsidR="007C4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расположенные на территории города </w:t>
      </w:r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Удомля –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989 га.</w:t>
      </w:r>
    </w:p>
    <w:p w:rsidR="00421FF3" w:rsidRDefault="005C7ACF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5CEE">
        <w:rPr>
          <w:rFonts w:ascii="Times New Roman" w:hAnsi="Times New Roman"/>
          <w:sz w:val="28"/>
          <w:szCs w:val="28"/>
        </w:rPr>
        <w:t xml:space="preserve">На транспортное обслуживание населения Удомельского </w:t>
      </w:r>
      <w:r w:rsidR="00B52A26" w:rsidRPr="00315CEE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315CEE">
        <w:rPr>
          <w:rFonts w:ascii="Times New Roman" w:hAnsi="Times New Roman"/>
          <w:sz w:val="28"/>
          <w:szCs w:val="28"/>
        </w:rPr>
        <w:t>в 201</w:t>
      </w:r>
      <w:r w:rsidR="00477E63">
        <w:rPr>
          <w:rFonts w:ascii="Times New Roman" w:hAnsi="Times New Roman"/>
          <w:sz w:val="28"/>
          <w:szCs w:val="28"/>
        </w:rPr>
        <w:t>7</w:t>
      </w:r>
      <w:r w:rsidRPr="00315CEE">
        <w:rPr>
          <w:rFonts w:ascii="Times New Roman" w:hAnsi="Times New Roman"/>
          <w:sz w:val="28"/>
          <w:szCs w:val="28"/>
        </w:rPr>
        <w:t xml:space="preserve"> году предусмотрено </w:t>
      </w:r>
      <w:r w:rsidR="00036D25" w:rsidRPr="00315CEE">
        <w:rPr>
          <w:rFonts w:ascii="Times New Roman" w:hAnsi="Times New Roman"/>
          <w:sz w:val="28"/>
          <w:szCs w:val="28"/>
        </w:rPr>
        <w:t>9</w:t>
      </w:r>
      <w:r w:rsidR="00315CEE">
        <w:rPr>
          <w:rFonts w:ascii="Times New Roman" w:hAnsi="Times New Roman"/>
          <w:sz w:val="28"/>
          <w:szCs w:val="28"/>
        </w:rPr>
        <w:t> 057,1</w:t>
      </w:r>
      <w:r w:rsidR="00631C36" w:rsidRPr="00315CEE">
        <w:rPr>
          <w:rFonts w:ascii="Times New Roman" w:hAnsi="Times New Roman"/>
          <w:sz w:val="28"/>
          <w:szCs w:val="28"/>
        </w:rPr>
        <w:t xml:space="preserve"> </w:t>
      </w:r>
      <w:r w:rsidRPr="00315CEE">
        <w:rPr>
          <w:rFonts w:ascii="Times New Roman" w:hAnsi="Times New Roman"/>
          <w:sz w:val="28"/>
          <w:szCs w:val="28"/>
        </w:rPr>
        <w:t>тыс. руб</w:t>
      </w:r>
      <w:r w:rsidR="00315CEE">
        <w:rPr>
          <w:rFonts w:ascii="Times New Roman" w:hAnsi="Times New Roman"/>
          <w:sz w:val="28"/>
          <w:szCs w:val="28"/>
        </w:rPr>
        <w:t>лей</w:t>
      </w:r>
      <w:r w:rsidRPr="00315CEE">
        <w:rPr>
          <w:rFonts w:ascii="Times New Roman" w:hAnsi="Times New Roman"/>
          <w:sz w:val="28"/>
          <w:szCs w:val="28"/>
        </w:rPr>
        <w:t xml:space="preserve">, в том числе на осуществления движение по социальным маршрутам была предоставлена субсидия из областного бюджета Тверской области в размере </w:t>
      </w:r>
      <w:r w:rsidR="00315CEE">
        <w:rPr>
          <w:rFonts w:ascii="Times New Roman" w:hAnsi="Times New Roman"/>
          <w:sz w:val="28"/>
          <w:szCs w:val="28"/>
        </w:rPr>
        <w:t>3 695,4</w:t>
      </w:r>
      <w:r w:rsidRPr="00315CEE">
        <w:rPr>
          <w:rFonts w:ascii="Times New Roman" w:hAnsi="Times New Roman"/>
          <w:sz w:val="28"/>
          <w:szCs w:val="28"/>
        </w:rPr>
        <w:t xml:space="preserve"> тыс. руб</w:t>
      </w:r>
      <w:r w:rsidR="00315CEE">
        <w:rPr>
          <w:rFonts w:ascii="Times New Roman" w:hAnsi="Times New Roman"/>
          <w:sz w:val="28"/>
          <w:szCs w:val="28"/>
        </w:rPr>
        <w:t>лей</w:t>
      </w:r>
      <w:r w:rsidRPr="00315CEE">
        <w:rPr>
          <w:rFonts w:ascii="Times New Roman" w:hAnsi="Times New Roman"/>
          <w:sz w:val="28"/>
          <w:szCs w:val="28"/>
        </w:rPr>
        <w:t>.</w:t>
      </w:r>
    </w:p>
    <w:p w:rsidR="00421FF3" w:rsidRDefault="005C7ACF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BC4">
        <w:rPr>
          <w:rFonts w:ascii="Times New Roman" w:eastAsia="Calibri" w:hAnsi="Times New Roman" w:cs="Times New Roman"/>
          <w:sz w:val="28"/>
          <w:szCs w:val="28"/>
        </w:rPr>
        <w:t>В 201</w:t>
      </w:r>
      <w:r w:rsidR="00057946">
        <w:rPr>
          <w:rFonts w:ascii="Times New Roman" w:eastAsia="Calibri" w:hAnsi="Times New Roman" w:cs="Times New Roman"/>
          <w:sz w:val="28"/>
          <w:szCs w:val="28"/>
        </w:rPr>
        <w:t>7</w:t>
      </w:r>
      <w:r w:rsidRPr="00AF0BC4">
        <w:rPr>
          <w:rFonts w:ascii="Times New Roman" w:eastAsia="Calibri" w:hAnsi="Times New Roman" w:cs="Times New Roman"/>
          <w:sz w:val="28"/>
          <w:szCs w:val="28"/>
        </w:rPr>
        <w:t xml:space="preserve"> году  периодичность движения были сохранены на уровне 201</w:t>
      </w:r>
      <w:r w:rsidR="00057946">
        <w:rPr>
          <w:rFonts w:ascii="Times New Roman" w:eastAsia="Calibri" w:hAnsi="Times New Roman" w:cs="Times New Roman"/>
          <w:sz w:val="28"/>
          <w:szCs w:val="28"/>
        </w:rPr>
        <w:t>6</w:t>
      </w:r>
      <w:r w:rsidRPr="00AF0BC4">
        <w:rPr>
          <w:rFonts w:ascii="Times New Roman" w:eastAsia="Calibri" w:hAnsi="Times New Roman" w:cs="Times New Roman"/>
          <w:sz w:val="28"/>
          <w:szCs w:val="28"/>
        </w:rPr>
        <w:t xml:space="preserve"> года, что позвол</w:t>
      </w:r>
      <w:r w:rsidR="00057946">
        <w:rPr>
          <w:rFonts w:ascii="Times New Roman" w:eastAsia="Calibri" w:hAnsi="Times New Roman" w:cs="Times New Roman"/>
          <w:sz w:val="28"/>
          <w:szCs w:val="28"/>
        </w:rPr>
        <w:t>яет сохранить</w:t>
      </w:r>
      <w:r w:rsidRPr="00AF0BC4">
        <w:rPr>
          <w:rFonts w:ascii="Times New Roman" w:eastAsia="Calibri" w:hAnsi="Times New Roman" w:cs="Times New Roman"/>
          <w:sz w:val="28"/>
          <w:szCs w:val="28"/>
        </w:rPr>
        <w:t xml:space="preserve"> показатель «Доля населения, проживающего в населенных пунктах, не имеющих регулярного автобусного и </w:t>
      </w:r>
      <w:r w:rsidR="00D8159A" w:rsidRPr="00AF0BC4">
        <w:rPr>
          <w:rFonts w:ascii="Times New Roman" w:eastAsia="Calibri" w:hAnsi="Times New Roman" w:cs="Times New Roman"/>
          <w:sz w:val="28"/>
          <w:szCs w:val="28"/>
        </w:rPr>
        <w:t>(</w:t>
      </w:r>
      <w:r w:rsidRPr="00AF0BC4">
        <w:rPr>
          <w:rFonts w:ascii="Times New Roman" w:eastAsia="Calibri" w:hAnsi="Times New Roman" w:cs="Times New Roman"/>
          <w:sz w:val="28"/>
          <w:szCs w:val="28"/>
        </w:rPr>
        <w:t xml:space="preserve">или) железнодорожного сообщения с административным центром </w:t>
      </w:r>
      <w:r w:rsidR="00057946">
        <w:rPr>
          <w:rFonts w:ascii="Times New Roman" w:eastAsia="Calibri" w:hAnsi="Times New Roman" w:cs="Times New Roman"/>
          <w:sz w:val="28"/>
          <w:szCs w:val="28"/>
        </w:rPr>
        <w:t>городского округа (муниципального района)</w:t>
      </w:r>
      <w:r w:rsidRPr="00AF0BC4">
        <w:rPr>
          <w:rFonts w:ascii="Times New Roman" w:eastAsia="Calibri" w:hAnsi="Times New Roman" w:cs="Times New Roman"/>
          <w:sz w:val="28"/>
          <w:szCs w:val="28"/>
        </w:rPr>
        <w:t xml:space="preserve">, в общей численности населения </w:t>
      </w:r>
      <w:proofErr w:type="spellStart"/>
      <w:r w:rsidRPr="00AF0BC4">
        <w:rPr>
          <w:rFonts w:ascii="Times New Roman" w:eastAsia="Calibri" w:hAnsi="Times New Roman" w:cs="Times New Roman"/>
          <w:sz w:val="28"/>
          <w:szCs w:val="28"/>
        </w:rPr>
        <w:t>Удомельского</w:t>
      </w:r>
      <w:proofErr w:type="spellEnd"/>
      <w:r w:rsidR="00EB5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946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AF0BC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57946">
        <w:rPr>
          <w:rFonts w:ascii="Times New Roman" w:eastAsia="Calibri" w:hAnsi="Times New Roman" w:cs="Times New Roman"/>
          <w:sz w:val="28"/>
          <w:szCs w:val="28"/>
        </w:rPr>
        <w:t>на уровне</w:t>
      </w:r>
      <w:r w:rsidR="00631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C4">
        <w:rPr>
          <w:rFonts w:ascii="Times New Roman" w:eastAsia="Calibri" w:hAnsi="Times New Roman" w:cs="Times New Roman"/>
          <w:sz w:val="28"/>
          <w:szCs w:val="28"/>
        </w:rPr>
        <w:t>0 %.</w:t>
      </w:r>
    </w:p>
    <w:p w:rsidR="00421FF3" w:rsidRDefault="005C7ACF" w:rsidP="006C7D2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>Обслуживающей организацией остается ЗАО «Навигатор»</w:t>
      </w:r>
      <w:r w:rsidR="007623C8">
        <w:rPr>
          <w:rFonts w:ascii="Times New Roman" w:eastAsia="Calibri" w:hAnsi="Times New Roman" w:cs="Times New Roman"/>
          <w:sz w:val="28"/>
          <w:szCs w:val="28"/>
        </w:rPr>
        <w:t>, ОО</w:t>
      </w:r>
      <w:bookmarkStart w:id="0" w:name="_GoBack"/>
      <w:bookmarkEnd w:id="0"/>
      <w:r w:rsidR="00421FF3">
        <w:rPr>
          <w:rFonts w:ascii="Times New Roman" w:eastAsia="Calibri" w:hAnsi="Times New Roman" w:cs="Times New Roman"/>
          <w:sz w:val="28"/>
          <w:szCs w:val="28"/>
        </w:rPr>
        <w:t>О «Калининская АЭС-Сервис».</w:t>
      </w:r>
    </w:p>
    <w:p w:rsidR="00421FF3" w:rsidRDefault="005C7ACF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015847">
        <w:rPr>
          <w:rFonts w:ascii="Times New Roman" w:eastAsia="Calibri" w:hAnsi="Times New Roman" w:cs="Times New Roman"/>
          <w:sz w:val="28"/>
          <w:szCs w:val="28"/>
        </w:rPr>
        <w:t>Удомельском</w:t>
      </w:r>
      <w:proofErr w:type="spellEnd"/>
      <w:r w:rsidR="00EB5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A26">
        <w:rPr>
          <w:rFonts w:ascii="Times New Roman" w:eastAsia="Calibri" w:hAnsi="Times New Roman" w:cs="Times New Roman"/>
          <w:sz w:val="28"/>
          <w:szCs w:val="28"/>
        </w:rPr>
        <w:t>городском округе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пассажирские перевозки осуществля</w:t>
      </w:r>
      <w:r w:rsidR="00057946">
        <w:rPr>
          <w:rFonts w:ascii="Times New Roman" w:eastAsia="Calibri" w:hAnsi="Times New Roman" w:cs="Times New Roman"/>
          <w:sz w:val="28"/>
          <w:szCs w:val="28"/>
        </w:rPr>
        <w:t>лись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7372C">
        <w:rPr>
          <w:rFonts w:ascii="Times New Roman" w:eastAsia="Calibri" w:hAnsi="Times New Roman" w:cs="Times New Roman"/>
          <w:sz w:val="28"/>
          <w:szCs w:val="28"/>
        </w:rPr>
        <w:t>1</w:t>
      </w:r>
      <w:r w:rsidR="00057946">
        <w:rPr>
          <w:rFonts w:ascii="Times New Roman" w:eastAsia="Calibri" w:hAnsi="Times New Roman" w:cs="Times New Roman"/>
          <w:sz w:val="28"/>
          <w:szCs w:val="28"/>
        </w:rPr>
        <w:t>7 маршрутам - это больше чем в 2016 году на 4 направления.</w:t>
      </w:r>
    </w:p>
    <w:p w:rsidR="00421FF3" w:rsidRDefault="005C7ACF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Проведенные мероприятия позволили </w:t>
      </w:r>
      <w:r w:rsidR="007D0C96">
        <w:rPr>
          <w:rFonts w:ascii="Times New Roman" w:eastAsia="Calibri" w:hAnsi="Times New Roman" w:cs="Times New Roman"/>
          <w:sz w:val="28"/>
          <w:szCs w:val="28"/>
        </w:rPr>
        <w:t xml:space="preserve">полностью </w:t>
      </w:r>
      <w:r w:rsidRPr="00015847">
        <w:rPr>
          <w:rFonts w:ascii="Times New Roman" w:eastAsia="Calibri" w:hAnsi="Times New Roman" w:cs="Times New Roman"/>
          <w:sz w:val="28"/>
          <w:szCs w:val="28"/>
        </w:rPr>
        <w:t>сократить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</w:t>
      </w:r>
      <w:r w:rsidR="007D0C96">
        <w:rPr>
          <w:rFonts w:ascii="Times New Roman" w:eastAsia="Calibri" w:hAnsi="Times New Roman" w:cs="Times New Roman"/>
          <w:sz w:val="28"/>
          <w:szCs w:val="28"/>
        </w:rPr>
        <w:t>ользования местного значения.</w:t>
      </w:r>
    </w:p>
    <w:p w:rsidR="00421FF3" w:rsidRDefault="00A2629B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3C0C">
        <w:rPr>
          <w:rFonts w:ascii="Times New Roman" w:hAnsi="Times New Roman" w:cs="Times New Roman"/>
          <w:sz w:val="28"/>
          <w:szCs w:val="28"/>
        </w:rPr>
        <w:t>Среднемесячная</w:t>
      </w:r>
      <w:r w:rsidR="004636CF" w:rsidRPr="00015847">
        <w:rPr>
          <w:rFonts w:ascii="Times New Roman" w:hAnsi="Times New Roman" w:cs="Times New Roman"/>
          <w:sz w:val="28"/>
          <w:szCs w:val="28"/>
        </w:rPr>
        <w:t xml:space="preserve"> номинальная  начисленная заработная плата работников  по крупным и средним предприятиям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Удомельского </w:t>
      </w:r>
      <w:r w:rsidR="00B52A26">
        <w:rPr>
          <w:rFonts w:ascii="Times New Roman" w:hAnsi="Times New Roman" w:cs="Times New Roman"/>
          <w:sz w:val="28"/>
          <w:szCs w:val="28"/>
        </w:rPr>
        <w:t>городского округа за 201</w:t>
      </w:r>
      <w:r w:rsidR="00CD3C0C">
        <w:rPr>
          <w:rFonts w:ascii="Times New Roman" w:hAnsi="Times New Roman" w:cs="Times New Roman"/>
          <w:sz w:val="28"/>
          <w:szCs w:val="28"/>
        </w:rPr>
        <w:t>7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год возросла </w:t>
      </w:r>
      <w:r w:rsidR="00854083" w:rsidRPr="00015847">
        <w:rPr>
          <w:rFonts w:ascii="Times New Roman" w:hAnsi="Times New Roman" w:cs="Times New Roman"/>
          <w:sz w:val="28"/>
          <w:szCs w:val="28"/>
        </w:rPr>
        <w:t>к уровню 201</w:t>
      </w:r>
      <w:r w:rsidR="00CD3C0C">
        <w:rPr>
          <w:rFonts w:ascii="Times New Roman" w:hAnsi="Times New Roman" w:cs="Times New Roman"/>
          <w:sz w:val="28"/>
          <w:szCs w:val="28"/>
        </w:rPr>
        <w:t>6</w:t>
      </w:r>
      <w:r w:rsidR="00854083" w:rsidRPr="0001584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на </w:t>
      </w:r>
      <w:r w:rsidR="00CD3C0C">
        <w:rPr>
          <w:rFonts w:ascii="Times New Roman" w:hAnsi="Times New Roman" w:cs="Times New Roman"/>
          <w:sz w:val="28"/>
          <w:szCs w:val="28"/>
        </w:rPr>
        <w:t>4</w:t>
      </w:r>
      <w:r w:rsidR="0017372C">
        <w:rPr>
          <w:rFonts w:ascii="Times New Roman" w:hAnsi="Times New Roman" w:cs="Times New Roman"/>
          <w:sz w:val="28"/>
          <w:szCs w:val="28"/>
        </w:rPr>
        <w:t>,3%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и  составила </w:t>
      </w:r>
      <w:r w:rsidR="00CD3C0C">
        <w:rPr>
          <w:rFonts w:ascii="Times New Roman" w:hAnsi="Times New Roman" w:cs="Times New Roman"/>
          <w:sz w:val="28"/>
          <w:szCs w:val="28"/>
        </w:rPr>
        <w:t>42 887,70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34666" w:rsidRPr="0017372C">
        <w:rPr>
          <w:rFonts w:ascii="Times New Roman" w:hAnsi="Times New Roman" w:cs="Times New Roman"/>
          <w:sz w:val="28"/>
          <w:szCs w:val="28"/>
        </w:rPr>
        <w:t>это самая высокая заработная плата по Тверской области.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 Среднемесячная заработная плата по Тверской области составляет </w:t>
      </w:r>
      <w:r w:rsidR="00A40BB1">
        <w:rPr>
          <w:rFonts w:ascii="Times New Roman" w:hAnsi="Times New Roman" w:cs="Times New Roman"/>
          <w:sz w:val="28"/>
          <w:szCs w:val="28"/>
        </w:rPr>
        <w:t>31 056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41D1" w:rsidRDefault="00D97EE4" w:rsidP="006C7D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47">
        <w:rPr>
          <w:rFonts w:ascii="Times New Roman" w:hAnsi="Times New Roman" w:cs="Times New Roman"/>
          <w:sz w:val="28"/>
          <w:szCs w:val="28"/>
        </w:rPr>
        <w:lastRenderedPageBreak/>
        <w:t>В связи с реализацией  майских Указов Президента РФ и доведения до установленного уровня среднемесячной зарплаты</w:t>
      </w:r>
      <w:r w:rsidR="0017372C">
        <w:rPr>
          <w:rFonts w:ascii="Times New Roman" w:hAnsi="Times New Roman" w:cs="Times New Roman"/>
          <w:sz w:val="28"/>
          <w:szCs w:val="28"/>
        </w:rPr>
        <w:t xml:space="preserve"> до уровня зарплаты по экономике</w:t>
      </w:r>
      <w:r w:rsidRPr="00015847">
        <w:rPr>
          <w:rFonts w:ascii="Times New Roman" w:hAnsi="Times New Roman" w:cs="Times New Roman"/>
          <w:sz w:val="28"/>
          <w:szCs w:val="28"/>
        </w:rPr>
        <w:t xml:space="preserve"> Тверской области в сф</w:t>
      </w:r>
      <w:r w:rsidR="0017372C">
        <w:rPr>
          <w:rFonts w:ascii="Times New Roman" w:hAnsi="Times New Roman" w:cs="Times New Roman"/>
          <w:sz w:val="28"/>
          <w:szCs w:val="28"/>
        </w:rPr>
        <w:t>ере образования и  культуры</w:t>
      </w:r>
      <w:r w:rsidRPr="00015847">
        <w:rPr>
          <w:rFonts w:ascii="Times New Roman" w:hAnsi="Times New Roman" w:cs="Times New Roman"/>
          <w:sz w:val="28"/>
          <w:szCs w:val="28"/>
        </w:rPr>
        <w:t xml:space="preserve">  произошел рост  среднемесячной заработной платы и прогнозируется  дальнейший рост, это предусмотрено в дорожных картах образования и культуры.</w:t>
      </w:r>
    </w:p>
    <w:p w:rsidR="004444EE" w:rsidRPr="00421FF3" w:rsidRDefault="004444EE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41D1" w:rsidRPr="004C74D7" w:rsidRDefault="005F41D1" w:rsidP="006C7D23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4C74D7">
        <w:rPr>
          <w:rFonts w:ascii="Times New Roman" w:hAnsi="Times New Roman" w:cs="Times New Roman"/>
          <w:sz w:val="28"/>
          <w:szCs w:val="28"/>
        </w:rPr>
        <w:t>Раздел 2</w:t>
      </w:r>
      <w:r w:rsidR="00204C7B" w:rsidRPr="004C74D7">
        <w:rPr>
          <w:rFonts w:ascii="Times New Roman" w:hAnsi="Times New Roman" w:cs="Times New Roman"/>
          <w:sz w:val="28"/>
          <w:szCs w:val="28"/>
        </w:rPr>
        <w:t xml:space="preserve">. Дошкольное образование </w:t>
      </w:r>
    </w:p>
    <w:p w:rsidR="0034044C" w:rsidRPr="004C74D7" w:rsidRDefault="0034044C" w:rsidP="006C7D23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63043" w:rsidRPr="00963043" w:rsidRDefault="00963043" w:rsidP="009630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>В 2017 году остается высоким охват детей в возрасте 1-6 лет, получающих дошкольную образовательную услугу (81,</w:t>
      </w:r>
      <w:r w:rsidR="00142AD1">
        <w:rPr>
          <w:rFonts w:ascii="Times New Roman" w:eastAsia="Calibri" w:hAnsi="Times New Roman" w:cs="Times New Roman"/>
          <w:sz w:val="28"/>
          <w:szCs w:val="28"/>
        </w:rPr>
        <w:t>0</w:t>
      </w:r>
      <w:r w:rsidRPr="00963043">
        <w:rPr>
          <w:rFonts w:ascii="Times New Roman" w:eastAsia="Calibri" w:hAnsi="Times New Roman" w:cs="Times New Roman"/>
          <w:sz w:val="28"/>
          <w:szCs w:val="28"/>
        </w:rPr>
        <w:t>% по сравнению с 80,80% в 2016 году) благодаря реализации мероприятий по расширению форм предоставления услуг дошкольного образования, закрытию потребности и ликвидации очереди в детские сады. Доля детей в возрасте 1-6 лет, стоящих на учете для определения в муниципальные дошкольные образовательные учреждения составляет 8,90%.</w:t>
      </w:r>
    </w:p>
    <w:p w:rsidR="00963043" w:rsidRPr="00963043" w:rsidRDefault="00963043" w:rsidP="009630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 xml:space="preserve">В округе функционировали 8 дошкольных образовательных учреждений. В трех из них (37,5%) проведены капитальные ремонты: МБДОУ «Детский сад Буратино» (замена оконных блоков, средства КАЭС), МБДОУ ЦРР «Детский сад Кораблик» (ремонт бассейна, средства КАЭС), МБДОУ «Детский сад </w:t>
      </w:r>
      <w:proofErr w:type="spellStart"/>
      <w:r w:rsidRPr="00963043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963043">
        <w:rPr>
          <w:rFonts w:ascii="Times New Roman" w:eastAsia="Calibri" w:hAnsi="Times New Roman" w:cs="Times New Roman"/>
          <w:sz w:val="28"/>
          <w:szCs w:val="28"/>
        </w:rPr>
        <w:t xml:space="preserve">» (ремонт кровли, средства муниципалитета). </w:t>
      </w:r>
    </w:p>
    <w:p w:rsidR="005F41D1" w:rsidRPr="004C74D7" w:rsidRDefault="005F41D1" w:rsidP="006C7D23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FF3" w:rsidRDefault="00A75201" w:rsidP="006C7D23">
      <w:pPr>
        <w:spacing w:line="240" w:lineRule="auto"/>
        <w:ind w:left="-426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4D7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C74D7">
        <w:rPr>
          <w:rFonts w:ascii="Times New Roman" w:eastAsia="Calibri" w:hAnsi="Times New Roman" w:cs="Times New Roman"/>
          <w:sz w:val="28"/>
          <w:szCs w:val="28"/>
        </w:rPr>
        <w:t xml:space="preserve"> Общее и дополнительное образование</w:t>
      </w:r>
    </w:p>
    <w:p w:rsidR="00963043" w:rsidRPr="00963043" w:rsidRDefault="00963043" w:rsidP="00E83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>В 2017 году улучшились показатели по общему и дополнительному образованию.</w:t>
      </w:r>
    </w:p>
    <w:p w:rsidR="00963043" w:rsidRPr="00963043" w:rsidRDefault="00963043" w:rsidP="009630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963043">
        <w:rPr>
          <w:rFonts w:ascii="Times New Roman" w:eastAsia="Calibri" w:hAnsi="Times New Roman" w:cs="Times New Roman"/>
          <w:sz w:val="28"/>
          <w:szCs w:val="28"/>
        </w:rPr>
        <w:t>Удомельском</w:t>
      </w:r>
      <w:proofErr w:type="spellEnd"/>
      <w:r w:rsidRPr="00963043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из 13 общеобразовательных учреждений  все (100%) соответствуют современным требованиям обучения. Аварийных зданий нет. Все (100%) общеобразовательные учреждения работают в одну смену.</w:t>
      </w:r>
    </w:p>
    <w:p w:rsidR="00963043" w:rsidRPr="00963043" w:rsidRDefault="00963043" w:rsidP="009630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 xml:space="preserve">Управлением образования Администрации </w:t>
      </w:r>
      <w:proofErr w:type="spellStart"/>
      <w:r w:rsidRPr="00963043">
        <w:rPr>
          <w:rFonts w:ascii="Times New Roman" w:eastAsia="Calibri" w:hAnsi="Times New Roman" w:cs="Times New Roman"/>
          <w:sz w:val="28"/>
          <w:szCs w:val="28"/>
        </w:rPr>
        <w:t>Удомельского</w:t>
      </w:r>
      <w:proofErr w:type="spellEnd"/>
      <w:r w:rsidRPr="00963043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 разработан и проводится мониторинг по обеспечению в общеобразовательных учреждениях условий, направленных на здоровье сбережение обучающихся, создание безопасности образовательных учреждений, разработан комплекс мероприятий на 3 года по улучшению материально-технической базы. Так в 2017 году проведены мероприятия:</w:t>
      </w:r>
    </w:p>
    <w:p w:rsidR="00963043" w:rsidRPr="00963043" w:rsidRDefault="00963043" w:rsidP="00963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>- МБОУ УСОШ № 1 им. А.С. Попова – замена оконных блоков (средства муниципалитета);</w:t>
      </w:r>
    </w:p>
    <w:p w:rsidR="00963043" w:rsidRPr="00963043" w:rsidRDefault="00963043" w:rsidP="00963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 xml:space="preserve">- МБОУ УСОШ № 2 им. Сергея </w:t>
      </w:r>
      <w:proofErr w:type="spellStart"/>
      <w:r w:rsidRPr="00963043">
        <w:rPr>
          <w:rFonts w:ascii="Times New Roman" w:eastAsia="Calibri" w:hAnsi="Times New Roman" w:cs="Times New Roman"/>
          <w:sz w:val="28"/>
          <w:szCs w:val="28"/>
        </w:rPr>
        <w:t>Ступакова</w:t>
      </w:r>
      <w:proofErr w:type="spellEnd"/>
      <w:r w:rsidRPr="00963043">
        <w:rPr>
          <w:rFonts w:ascii="Times New Roman" w:eastAsia="Calibri" w:hAnsi="Times New Roman" w:cs="Times New Roman"/>
          <w:sz w:val="28"/>
          <w:szCs w:val="28"/>
        </w:rPr>
        <w:t xml:space="preserve"> – ремонт кровли (средства муниципалитета);</w:t>
      </w:r>
    </w:p>
    <w:p w:rsidR="00963043" w:rsidRPr="00963043" w:rsidRDefault="00963043" w:rsidP="00963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>- МБОУ УГ № 3 им. О.Г. Макарова – ремонт тира (средства КАЭС);</w:t>
      </w:r>
    </w:p>
    <w:p w:rsidR="00963043" w:rsidRPr="00963043" w:rsidRDefault="00963043" w:rsidP="00963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>- МБОУ УСОШ № 4 – ремонт музея (средства КАЭС);</w:t>
      </w:r>
    </w:p>
    <w:p w:rsidR="00963043" w:rsidRPr="00963043" w:rsidRDefault="00963043" w:rsidP="00963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>- МБОУ УНОШ «Садко» - ремонт медицинского кабинета (средства КАЭС);</w:t>
      </w:r>
    </w:p>
    <w:p w:rsidR="00963043" w:rsidRPr="00963043" w:rsidRDefault="00963043" w:rsidP="00963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>- МБОУ «</w:t>
      </w:r>
      <w:proofErr w:type="spellStart"/>
      <w:r w:rsidRPr="00963043">
        <w:rPr>
          <w:rFonts w:ascii="Times New Roman" w:eastAsia="Calibri" w:hAnsi="Times New Roman" w:cs="Times New Roman"/>
          <w:sz w:val="28"/>
          <w:szCs w:val="28"/>
        </w:rPr>
        <w:t>Котлованская</w:t>
      </w:r>
      <w:proofErr w:type="spellEnd"/>
      <w:r w:rsidRPr="00963043">
        <w:rPr>
          <w:rFonts w:ascii="Times New Roman" w:eastAsia="Calibri" w:hAnsi="Times New Roman" w:cs="Times New Roman"/>
          <w:sz w:val="28"/>
          <w:szCs w:val="28"/>
        </w:rPr>
        <w:t xml:space="preserve"> СОШ» - реконструкция дошкольной группы (средства муниципалитета);</w:t>
      </w:r>
    </w:p>
    <w:p w:rsidR="00963043" w:rsidRPr="00963043" w:rsidRDefault="00963043" w:rsidP="00963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>- МБОУ «</w:t>
      </w:r>
      <w:proofErr w:type="spellStart"/>
      <w:r w:rsidRPr="00963043">
        <w:rPr>
          <w:rFonts w:ascii="Times New Roman" w:eastAsia="Calibri" w:hAnsi="Times New Roman" w:cs="Times New Roman"/>
          <w:sz w:val="28"/>
          <w:szCs w:val="28"/>
        </w:rPr>
        <w:t>Молдинская</w:t>
      </w:r>
      <w:proofErr w:type="spellEnd"/>
      <w:r w:rsidRPr="00963043">
        <w:rPr>
          <w:rFonts w:ascii="Times New Roman" w:eastAsia="Calibri" w:hAnsi="Times New Roman" w:cs="Times New Roman"/>
          <w:sz w:val="28"/>
          <w:szCs w:val="28"/>
        </w:rPr>
        <w:t xml:space="preserve"> СОШ» - ремонт спортивного зала (средства КАЭС);</w:t>
      </w:r>
    </w:p>
    <w:p w:rsidR="00963043" w:rsidRPr="00963043" w:rsidRDefault="00963043" w:rsidP="00963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>- МБОУ «</w:t>
      </w:r>
      <w:proofErr w:type="spellStart"/>
      <w:r w:rsidRPr="00963043">
        <w:rPr>
          <w:rFonts w:ascii="Times New Roman" w:eastAsia="Calibri" w:hAnsi="Times New Roman" w:cs="Times New Roman"/>
          <w:sz w:val="28"/>
          <w:szCs w:val="28"/>
        </w:rPr>
        <w:t>Брусовская</w:t>
      </w:r>
      <w:proofErr w:type="spellEnd"/>
      <w:r w:rsidRPr="00963043">
        <w:rPr>
          <w:rFonts w:ascii="Times New Roman" w:eastAsia="Calibri" w:hAnsi="Times New Roman" w:cs="Times New Roman"/>
          <w:sz w:val="28"/>
          <w:szCs w:val="28"/>
        </w:rPr>
        <w:t xml:space="preserve"> СОШ» - ремонт оконных блоков (средства КАЭС, депутата Законодательного собрания).</w:t>
      </w:r>
    </w:p>
    <w:p w:rsidR="00963043" w:rsidRPr="00963043" w:rsidRDefault="00963043" w:rsidP="00963043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3043">
        <w:rPr>
          <w:rFonts w:ascii="Times New Roman" w:eastAsia="Calibri" w:hAnsi="Times New Roman" w:cs="Times New Roman"/>
          <w:sz w:val="28"/>
          <w:szCs w:val="28"/>
        </w:rPr>
        <w:lastRenderedPageBreak/>
        <w:t>В связи с реализацией мероприятий, направленных на увеличение охвата детей 5-18 лет (всего 3 779 чел.  -  по статистике) дополнительным образованием, в том числе за счет реализации Комплекса мероприятий по созданию в общеобразовательных организациях, расположенных в сельской местности, условий для занятий физической культурой и спортом, увеличилась доля детей, охваченных дополнительным образованием,  и составила 70,70%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63043">
        <w:rPr>
          <w:rFonts w:ascii="Times New Roman" w:eastAsia="Calibri" w:hAnsi="Times New Roman" w:cs="Times New Roman"/>
          <w:sz w:val="28"/>
          <w:szCs w:val="28"/>
        </w:rPr>
        <w:t>по сравнению с 67,5% в 2016 году).</w:t>
      </w:r>
      <w:proofErr w:type="gramEnd"/>
    </w:p>
    <w:p w:rsidR="00963043" w:rsidRPr="00963043" w:rsidRDefault="00963043" w:rsidP="00963043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 xml:space="preserve">Увеличились  расходы за 2017 год в расчете на 1 </w:t>
      </w:r>
      <w:proofErr w:type="gramStart"/>
      <w:r w:rsidRPr="009630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63043">
        <w:rPr>
          <w:rFonts w:ascii="Times New Roman" w:eastAsia="Calibri" w:hAnsi="Times New Roman" w:cs="Times New Roman"/>
          <w:sz w:val="28"/>
          <w:szCs w:val="28"/>
        </w:rPr>
        <w:t xml:space="preserve"> и составили 17,27 тыс. рублей.</w:t>
      </w:r>
    </w:p>
    <w:p w:rsidR="00963043" w:rsidRPr="00963043" w:rsidRDefault="00963043" w:rsidP="00963043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3">
        <w:rPr>
          <w:rFonts w:ascii="Times New Roman" w:eastAsia="Calibri" w:hAnsi="Times New Roman" w:cs="Times New Roman"/>
          <w:sz w:val="28"/>
          <w:szCs w:val="28"/>
        </w:rPr>
        <w:t>Балансовая кредиторская задолженность за 2017 год по отрасли «Образование» составляет 46,5 млн.  рублей (на 01.01.2018 года).</w:t>
      </w:r>
    </w:p>
    <w:p w:rsidR="00963043" w:rsidRPr="00963043" w:rsidRDefault="00963043" w:rsidP="006C7D23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F8D" w:rsidRPr="00963043" w:rsidRDefault="00DE4F8D" w:rsidP="006C7D23">
      <w:pPr>
        <w:spacing w:after="0" w:line="240" w:lineRule="auto"/>
        <w:ind w:left="-567"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FF3" w:rsidRDefault="005855B3" w:rsidP="006C7D23">
      <w:pPr>
        <w:spacing w:line="240" w:lineRule="auto"/>
        <w:ind w:left="-426" w:right="-1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2007E0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Культура</w:t>
      </w:r>
    </w:p>
    <w:p w:rsidR="002D1167" w:rsidRPr="00421FF3" w:rsidRDefault="002D1167" w:rsidP="00E8343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>Количество учреждений клубного типа  и библиотек, находящихся н</w:t>
      </w:r>
      <w:r w:rsidR="008F5A5C">
        <w:rPr>
          <w:rFonts w:ascii="Times New Roman" w:eastAsia="Calibri" w:hAnsi="Times New Roman" w:cs="Times New Roman"/>
          <w:sz w:val="28"/>
          <w:szCs w:val="28"/>
        </w:rPr>
        <w:t>а территории Удомельского городского округа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соответствует нормативной потребности населения. Несмотря на уменьшение количества учреждений культуры, доступность и качество услуг в сфере культуры, а </w:t>
      </w:r>
      <w:r w:rsidRPr="008F5A5C">
        <w:rPr>
          <w:rFonts w:ascii="Times New Roman" w:eastAsia="Calibri" w:hAnsi="Times New Roman" w:cs="Times New Roman"/>
          <w:sz w:val="28"/>
          <w:szCs w:val="28"/>
        </w:rPr>
        <w:t>также уровень удовлетворенности жителей их качеством остались прежними. Учреждения культуры расположены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 таким образом, чтобы каждый житель </w:t>
      </w:r>
      <w:r w:rsidR="00862778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имел возможность его посетить. Важно отметить, что учреждения культуры нацелены на привлечение новых зрителей, слушателей, читателей и особенно важной категории – это детей и молодежи. А ведь одна из главных задач стоящая перед учреждениями культуры – это  сохранение традиционных нравственных ценностей.  </w:t>
      </w:r>
    </w:p>
    <w:p w:rsidR="00CD031C" w:rsidRDefault="002D1167" w:rsidP="00E8343D">
      <w:pPr>
        <w:spacing w:after="0" w:line="240" w:lineRule="auto"/>
        <w:ind w:right="-1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15847">
        <w:rPr>
          <w:rFonts w:ascii="Times New Roman" w:eastAsia="Calibri" w:hAnsi="Times New Roman" w:cs="Times New Roman"/>
          <w:sz w:val="28"/>
          <w:szCs w:val="28"/>
        </w:rPr>
        <w:t xml:space="preserve">Увеличение количества учреждений культуры, здания которых требуют капитального ремонта, произошло по причине того, что здания </w:t>
      </w:r>
      <w:r w:rsidRPr="00015847">
        <w:rPr>
          <w:rFonts w:ascii="Times New Roman" w:eastAsia="Calibri" w:hAnsi="Times New Roman" w:cs="Calibri"/>
          <w:sz w:val="28"/>
          <w:szCs w:val="28"/>
        </w:rPr>
        <w:t>устаревают, проводить ремонты в полном объеме не представляется возможным из-за отсутствия денежных сре</w:t>
      </w:r>
      <w:proofErr w:type="gramStart"/>
      <w:r w:rsidRPr="00015847">
        <w:rPr>
          <w:rFonts w:ascii="Times New Roman" w:eastAsia="Calibri" w:hAnsi="Times New Roman" w:cs="Calibri"/>
          <w:sz w:val="28"/>
          <w:szCs w:val="28"/>
        </w:rPr>
        <w:t>дств в б</w:t>
      </w:r>
      <w:proofErr w:type="gramEnd"/>
      <w:r w:rsidRPr="00015847">
        <w:rPr>
          <w:rFonts w:ascii="Times New Roman" w:eastAsia="Calibri" w:hAnsi="Times New Roman" w:cs="Calibri"/>
          <w:sz w:val="28"/>
          <w:szCs w:val="28"/>
        </w:rPr>
        <w:t xml:space="preserve">юджете </w:t>
      </w:r>
      <w:proofErr w:type="spellStart"/>
      <w:r w:rsidRPr="00015847">
        <w:rPr>
          <w:rFonts w:ascii="Times New Roman" w:eastAsia="Calibri" w:hAnsi="Times New Roman" w:cs="Calibri"/>
          <w:sz w:val="28"/>
          <w:szCs w:val="28"/>
        </w:rPr>
        <w:t>Удомельского</w:t>
      </w:r>
      <w:proofErr w:type="spellEnd"/>
      <w:r w:rsidR="0083142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D45AA4">
        <w:rPr>
          <w:rFonts w:ascii="Times New Roman" w:eastAsia="Calibri" w:hAnsi="Times New Roman" w:cs="Calibri"/>
          <w:sz w:val="28"/>
          <w:szCs w:val="28"/>
        </w:rPr>
        <w:t>городского округа</w:t>
      </w:r>
      <w:r w:rsidR="0041421A">
        <w:rPr>
          <w:rFonts w:ascii="Times New Roman" w:eastAsia="Calibri" w:hAnsi="Times New Roman" w:cs="Calibri"/>
          <w:sz w:val="28"/>
          <w:szCs w:val="28"/>
        </w:rPr>
        <w:t>.</w:t>
      </w:r>
    </w:p>
    <w:p w:rsidR="0041421A" w:rsidRPr="00CD031C" w:rsidRDefault="0041421A" w:rsidP="0041421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003" w:rsidRPr="002007E0" w:rsidRDefault="00CD031C" w:rsidP="006C7D23">
      <w:pPr>
        <w:spacing w:after="0" w:line="240" w:lineRule="auto"/>
        <w:ind w:left="-426"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7E0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</w:t>
      </w:r>
      <w:r w:rsidR="00A10020" w:rsidRPr="002007E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2007E0">
        <w:rPr>
          <w:rFonts w:ascii="Times New Roman" w:eastAsia="Calibri" w:hAnsi="Times New Roman" w:cs="Times New Roman"/>
          <w:bCs/>
          <w:sz w:val="28"/>
          <w:szCs w:val="28"/>
        </w:rPr>
        <w:t>. Физическая культура и спорт</w:t>
      </w:r>
    </w:p>
    <w:p w:rsidR="00015847" w:rsidRPr="00C15822" w:rsidRDefault="00015847" w:rsidP="006C7D23">
      <w:pPr>
        <w:spacing w:after="0" w:line="240" w:lineRule="auto"/>
        <w:ind w:left="-426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118" w:rsidRDefault="00410118" w:rsidP="0041421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года в год к</w:t>
      </w:r>
      <w:r w:rsidR="004B0003" w:rsidRPr="00C15822">
        <w:rPr>
          <w:rFonts w:ascii="Times New Roman" w:eastAsia="Calibri" w:hAnsi="Times New Roman" w:cs="Times New Roman"/>
          <w:sz w:val="28"/>
          <w:szCs w:val="28"/>
        </w:rPr>
        <w:t>оличество занимающихся физической культурой и спортом</w:t>
      </w:r>
      <w:r w:rsidR="00956B4E">
        <w:rPr>
          <w:rFonts w:ascii="Times New Roman" w:eastAsia="Calibri" w:hAnsi="Times New Roman" w:cs="Times New Roman"/>
          <w:sz w:val="28"/>
          <w:szCs w:val="28"/>
        </w:rPr>
        <w:t>,</w:t>
      </w:r>
      <w:r w:rsidR="004B0003" w:rsidRPr="00C1582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DC3DA7">
        <w:rPr>
          <w:rFonts w:ascii="Times New Roman" w:eastAsia="Calibri" w:hAnsi="Times New Roman" w:cs="Times New Roman"/>
          <w:sz w:val="28"/>
          <w:szCs w:val="28"/>
        </w:rPr>
        <w:t>Удо</w:t>
      </w:r>
      <w:r w:rsidR="0071242D">
        <w:rPr>
          <w:rFonts w:ascii="Times New Roman" w:eastAsia="Calibri" w:hAnsi="Times New Roman" w:cs="Times New Roman"/>
          <w:sz w:val="28"/>
          <w:szCs w:val="28"/>
        </w:rPr>
        <w:t>мельском</w:t>
      </w:r>
      <w:proofErr w:type="spellEnd"/>
      <w:r w:rsidR="0071242D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в 2017</w:t>
      </w:r>
      <w:r w:rsidR="004B0003" w:rsidRPr="00C15822">
        <w:rPr>
          <w:rFonts w:ascii="Times New Roman" w:eastAsia="Calibri" w:hAnsi="Times New Roman" w:cs="Times New Roman"/>
          <w:sz w:val="28"/>
          <w:szCs w:val="28"/>
        </w:rPr>
        <w:t xml:space="preserve"> году увеличи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вается, так как </w:t>
      </w:r>
      <w:r w:rsidR="00477E63">
        <w:rPr>
          <w:rFonts w:ascii="Times New Roman" w:eastAsia="Calibri" w:hAnsi="Times New Roman" w:cs="Times New Roman"/>
          <w:sz w:val="28"/>
          <w:szCs w:val="28"/>
        </w:rPr>
        <w:t xml:space="preserve">становится больше </w:t>
      </w:r>
      <w:r w:rsidRPr="00410118">
        <w:rPr>
          <w:rFonts w:ascii="Times New Roman" w:eastAsia="Calibri" w:hAnsi="Times New Roman" w:cs="Times New Roman"/>
          <w:sz w:val="28"/>
          <w:szCs w:val="28"/>
        </w:rPr>
        <w:t xml:space="preserve">людей, занимающихся </w:t>
      </w:r>
      <w:r w:rsidR="00477E63">
        <w:rPr>
          <w:rFonts w:ascii="Times New Roman" w:eastAsia="Calibri" w:hAnsi="Times New Roman" w:cs="Times New Roman"/>
          <w:sz w:val="28"/>
          <w:szCs w:val="28"/>
        </w:rPr>
        <w:t>двигательной активностью.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E63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еняется </w:t>
      </w:r>
      <w:r w:rsidRPr="00410118">
        <w:rPr>
          <w:rFonts w:ascii="Times New Roman" w:eastAsia="Calibri" w:hAnsi="Times New Roman" w:cs="Times New Roman"/>
          <w:sz w:val="28"/>
          <w:szCs w:val="28"/>
        </w:rPr>
        <w:t xml:space="preserve"> отношение людей к </w:t>
      </w:r>
      <w:r w:rsidR="00477E63">
        <w:rPr>
          <w:rFonts w:ascii="Times New Roman" w:eastAsia="Calibri" w:hAnsi="Times New Roman" w:cs="Times New Roman"/>
          <w:sz w:val="28"/>
          <w:szCs w:val="28"/>
        </w:rPr>
        <w:t xml:space="preserve">спорту и здоровому образу жизни </w:t>
      </w:r>
      <w:r w:rsidR="00477E63" w:rsidRPr="00410118">
        <w:rPr>
          <w:rFonts w:ascii="Times New Roman" w:eastAsia="Calibri" w:hAnsi="Times New Roman" w:cs="Times New Roman"/>
          <w:sz w:val="28"/>
          <w:szCs w:val="28"/>
        </w:rPr>
        <w:t>в позитивную сторону</w:t>
      </w:r>
      <w:r w:rsidR="00477E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1916" w:rsidRDefault="00450017" w:rsidP="0041421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Увеличение достигается </w:t>
      </w:r>
      <w:r w:rsidR="004B0003" w:rsidRPr="00C15822">
        <w:rPr>
          <w:rFonts w:ascii="Times New Roman" w:eastAsia="Calibri" w:hAnsi="Times New Roman" w:cs="Times New Roman"/>
          <w:sz w:val="28"/>
          <w:szCs w:val="28"/>
        </w:rPr>
        <w:t>за счёт</w:t>
      </w:r>
      <w:r w:rsidR="00477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B4E" w:rsidRPr="00956B4E">
        <w:rPr>
          <w:rFonts w:ascii="Times New Roman" w:eastAsia="Calibri" w:hAnsi="Times New Roman" w:cs="Times New Roman"/>
          <w:sz w:val="28"/>
          <w:szCs w:val="28"/>
        </w:rPr>
        <w:t>численност</w:t>
      </w:r>
      <w:r w:rsidR="00956B4E">
        <w:rPr>
          <w:rFonts w:ascii="Times New Roman" w:eastAsia="Calibri" w:hAnsi="Times New Roman" w:cs="Times New Roman"/>
          <w:sz w:val="28"/>
          <w:szCs w:val="28"/>
        </w:rPr>
        <w:t>и</w:t>
      </w:r>
      <w:r w:rsidR="004B0003" w:rsidRPr="00C158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0003" w:rsidRPr="00C15822" w:rsidRDefault="004B0003" w:rsidP="006C7D2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eastAsia="Calibri" w:hAnsi="Times New Roman" w:cs="Times New Roman"/>
          <w:sz w:val="28"/>
          <w:szCs w:val="28"/>
        </w:rPr>
        <w:t>- организации новых форм физкультур</w:t>
      </w:r>
      <w:r w:rsidR="00271916">
        <w:rPr>
          <w:rFonts w:ascii="Times New Roman" w:eastAsia="Calibri" w:hAnsi="Times New Roman" w:cs="Times New Roman"/>
          <w:sz w:val="28"/>
          <w:szCs w:val="28"/>
        </w:rPr>
        <w:t>но-массовой и спортивной работы;</w:t>
      </w:r>
    </w:p>
    <w:p w:rsidR="004B0003" w:rsidRPr="00C15822" w:rsidRDefault="004B0003" w:rsidP="006C7D2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eastAsia="Calibri" w:hAnsi="Times New Roman" w:cs="Times New Roman"/>
          <w:sz w:val="28"/>
          <w:szCs w:val="28"/>
        </w:rPr>
        <w:t>- активизации участия команд сельских поселений в спортивных мероприятиях</w:t>
      </w:r>
      <w:r w:rsidR="008213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0003" w:rsidRPr="004B0003" w:rsidRDefault="004B0003" w:rsidP="006C7D2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- увеличения количества выездов победителей и призеров муниципальных мероприятий на Чемпионаты и Первенства области (автобус </w:t>
      </w:r>
      <w:r w:rsidRPr="00042867">
        <w:rPr>
          <w:rFonts w:ascii="Times New Roman" w:eastAsia="Calibri" w:hAnsi="Times New Roman" w:cs="Times New Roman"/>
          <w:sz w:val="28"/>
          <w:szCs w:val="28"/>
        </w:rPr>
        <w:t>в  ДДТ);</w:t>
      </w:r>
    </w:p>
    <w:p w:rsidR="006C7D23" w:rsidRDefault="004B0003" w:rsidP="006C7D2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5822">
        <w:rPr>
          <w:rFonts w:ascii="Times New Roman" w:eastAsia="Calibri" w:hAnsi="Times New Roman" w:cs="Times New Roman"/>
          <w:sz w:val="28"/>
          <w:szCs w:val="28"/>
        </w:rPr>
        <w:t>- пропаганды физической культуры и спорта в средствах массовой информации (Репортажи о спортивных мероприятиях еженедельно транслировались на местном телевидении «РТУ», регулярные фотоотчёты на  кабельном ТВ ЗАО «Интеграл», в сети интернет.</w:t>
      </w:r>
      <w:proofErr w:type="gramEnd"/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 В эфире </w:t>
      </w:r>
      <w:proofErr w:type="spellStart"/>
      <w:r w:rsidRPr="00C15822">
        <w:rPr>
          <w:rFonts w:ascii="Times New Roman" w:eastAsia="Calibri" w:hAnsi="Times New Roman" w:cs="Times New Roman"/>
          <w:sz w:val="28"/>
          <w:szCs w:val="28"/>
        </w:rPr>
        <w:t>авторадио</w:t>
      </w:r>
      <w:proofErr w:type="spellEnd"/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 Удомля освещались новости спорта, </w:t>
      </w:r>
      <w:r w:rsidRPr="00C15822">
        <w:rPr>
          <w:rFonts w:ascii="Times New Roman" w:eastAsia="Calibri" w:hAnsi="Times New Roman" w:cs="Times New Roman"/>
          <w:sz w:val="28"/>
          <w:szCs w:val="28"/>
        </w:rPr>
        <w:lastRenderedPageBreak/>
        <w:t>Публиковались тематические статьи и заметки в газетах: «Мирный атом», «</w:t>
      </w:r>
      <w:proofErr w:type="spellStart"/>
      <w:r w:rsidRPr="00C15822">
        <w:rPr>
          <w:rFonts w:ascii="Times New Roman" w:eastAsia="Calibri" w:hAnsi="Times New Roman" w:cs="Times New Roman"/>
          <w:sz w:val="28"/>
          <w:szCs w:val="28"/>
        </w:rPr>
        <w:t>Удомельская</w:t>
      </w:r>
      <w:proofErr w:type="spellEnd"/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 газета», «Семейный капитал». </w:t>
      </w:r>
      <w:proofErr w:type="gramStart"/>
      <w:r w:rsidRPr="00C15822">
        <w:rPr>
          <w:rFonts w:ascii="Times New Roman" w:eastAsia="Calibri" w:hAnsi="Times New Roman" w:cs="Times New Roman"/>
          <w:sz w:val="28"/>
          <w:szCs w:val="28"/>
        </w:rPr>
        <w:t>На экране ЦОИ КАЭС транслировались спортивно-массовые и физкультурно-оздоровительные мероприятия).</w:t>
      </w:r>
      <w:proofErr w:type="gramEnd"/>
    </w:p>
    <w:p w:rsidR="00B60343" w:rsidRPr="006C7D23" w:rsidRDefault="00B60343" w:rsidP="006C7D2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обучающихся, систематически занимающихся физической культурой и спортом, в обще</w:t>
      </w:r>
      <w:r w:rsidR="0082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gramStart"/>
      <w:r w:rsidR="008213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="0082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201</w:t>
      </w:r>
      <w:r w:rsidR="007124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D0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по сравнению с  2016 годом до 66,96</w:t>
      </w:r>
      <w:r w:rsidR="0041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5855B3" w:rsidRDefault="005855B3" w:rsidP="006C7D23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7D23" w:rsidRDefault="005855B3" w:rsidP="006C7D2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Раздел </w:t>
      </w:r>
      <w:r w:rsidR="00D22B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0D79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Жилищное строительство и обеспечение граждан жильем</w:t>
      </w:r>
    </w:p>
    <w:p w:rsidR="006C7D23" w:rsidRDefault="006C7D23" w:rsidP="006C7D2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374C" w:rsidRDefault="00A154E7" w:rsidP="002F37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 жилья</w:t>
      </w:r>
      <w:r w:rsidRPr="00C04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всех источников финансирования </w:t>
      </w:r>
      <w:r w:rsidR="00271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159A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>0 м</w:t>
      </w:r>
      <w:proofErr w:type="gramStart"/>
      <w:r w:rsidR="00EB5C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74C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вводу жилья имеет искаженные </w:t>
      </w:r>
      <w:r w:rsidR="002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статистические </w:t>
      </w:r>
      <w:r w:rsidR="002F374C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значения, поскольку граждане по «дачной амнистии» вправе поставить на учет и зарегистрировать права на объекты недвижимости без разрешения </w:t>
      </w:r>
      <w:r w:rsidR="002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эксплуатацию.</w:t>
      </w:r>
    </w:p>
    <w:p w:rsidR="006C7D23" w:rsidRDefault="00A154E7" w:rsidP="006C7D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спад </w:t>
      </w:r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строительства 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сходит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отсутствия спроса на земельные участки на территории города Удомля  под многоэтажное, многоквартирное жилищное строительство. Основное жилищное строительство осуществляется путем строительства индивидуальных жилых домов на территории </w:t>
      </w:r>
      <w:proofErr w:type="spellStart"/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 сроком действия разрешения на ст</w:t>
      </w:r>
      <w:r w:rsidR="001E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роительство 10 лет, </w:t>
      </w:r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2017</w:t>
      </w:r>
      <w:r w:rsidR="0076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</w:t>
      </w:r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1</w:t>
      </w:r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4B4F"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селе </w:t>
      </w:r>
      <w:r w:rsid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>и 1</w:t>
      </w:r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4B4F"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</w:t>
      </w:r>
      <w:r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планируемым с</w:t>
      </w:r>
      <w:r w:rsid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роком </w:t>
      </w:r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 2018</w:t>
      </w:r>
      <w:r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B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C04B4F" w:rsidRPr="00981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Pr="00313EB1" w:rsidRDefault="00A154E7" w:rsidP="002B54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строительства в расчете на 10 тыс</w:t>
      </w:r>
      <w:r w:rsidR="00D8159A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овек составляет всего в 2017 году </w:t>
      </w:r>
      <w:r w:rsidR="00BF15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 (2016 году - 7,08 га)</w:t>
      </w:r>
      <w:r w:rsidR="00C04B4F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 предоставленных 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ст</w:t>
      </w:r>
      <w:r w:rsidR="00D8159A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роительства 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комплексного освоения в целях жилищного строительства </w:t>
      </w:r>
      <w:r w:rsidR="000D32B3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5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6C7D23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Pr="00313EB1" w:rsidRDefault="00C04B4F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</w:t>
      </w:r>
      <w:r w:rsidR="00A154E7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предоставленных для </w:t>
      </w:r>
      <w:proofErr w:type="gramStart"/>
      <w:r w:rsidR="00A154E7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proofErr w:type="gramEnd"/>
      <w:r w:rsidR="00A154E7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с даты принятия решения о предоставлении земельного участка не было получено разрешение на ввод в эксплуатацию объектов жилищного строительства в течени</w:t>
      </w:r>
      <w:r w:rsidR="00D8159A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54E7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лет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BFD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CF7805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54E7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D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10 000кв.м.,</w:t>
      </w:r>
      <w:r w:rsidR="007D0C96" w:rsidRPr="007D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C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0C96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объектов капитального строительства в течение 5 лет</w:t>
      </w:r>
      <w:r w:rsidR="007D0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0C96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</w:t>
      </w:r>
      <w:r w:rsidR="007D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10 000кв.м., </w:t>
      </w:r>
      <w:r w:rsidR="00A154E7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разрешение выдается сроком на 10 лет</w:t>
      </w:r>
      <w:r w:rsidR="00B30BFD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Default="00C96B4A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6A131E">
        <w:rPr>
          <w:rFonts w:ascii="Times New Roman" w:eastAsia="Times New Roman" w:hAnsi="Times New Roman" w:cs="Times New Roman"/>
          <w:sz w:val="28"/>
          <w:szCs w:val="28"/>
          <w:lang w:eastAsia="ru-RU"/>
        </w:rPr>
        <w:t>-2019</w:t>
      </w:r>
      <w:r w:rsidR="00A154E7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строительство 52</w:t>
      </w:r>
      <w:r w:rsidR="002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4E7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квартирного жилого дома для военнослужащих в районе пр. Энергетиков д.11а, также имеется спрос на земельный участок под строительство 5-8 этажного жилого дома в районе ул. Энтузиастов д.16, с возможным сроком начала строительства 2018</w:t>
      </w:r>
      <w:r w:rsidR="006A131E">
        <w:rPr>
          <w:rFonts w:ascii="Times New Roman" w:eastAsia="Times New Roman" w:hAnsi="Times New Roman" w:cs="Times New Roman"/>
          <w:sz w:val="28"/>
          <w:szCs w:val="28"/>
          <w:lang w:eastAsia="ru-RU"/>
        </w:rPr>
        <w:t>-2019</w:t>
      </w:r>
      <w:r w:rsidR="00A154E7"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C7D23" w:rsidRDefault="00A154E7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жилищное строительство, осуществляемое на территории Удомельского городского округа осуществляется</w:t>
      </w:r>
      <w:proofErr w:type="gramEnd"/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собственных средств застройщиков, б</w:t>
      </w:r>
      <w:r w:rsidR="00C96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привлечения средств местного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6C7D23" w:rsidRDefault="00A154E7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эффективного использования </w:t>
      </w:r>
      <w:proofErr w:type="gramStart"/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предоставленных гражданам для индивидуального жилищного строительства в Юго-Западном районе </w:t>
      </w:r>
      <w:proofErr w:type="spellStart"/>
      <w:r w:rsidR="002F3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2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6A13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>-2019 годах требуются</w:t>
      </w:r>
      <w:proofErr w:type="gramEnd"/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немалые финансовые средства для проектирования и строительства инженерно-транспортной инфраструктуры (транспортное сообщение, </w:t>
      </w:r>
      <w:r w:rsidRPr="00C04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электроснабжение, водоснабжение, водоотведение, теплоснабжение) данного района.</w:t>
      </w:r>
    </w:p>
    <w:p w:rsidR="00B84622" w:rsidRPr="006C7D23" w:rsidRDefault="000D7979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4F">
        <w:rPr>
          <w:rFonts w:ascii="Times New Roman" w:eastAsia="Calibri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жителя, повышается главным образом за счет развития индивидуального </w:t>
      </w:r>
      <w:proofErr w:type="gramStart"/>
      <w:r w:rsidRPr="00C04B4F">
        <w:rPr>
          <w:rFonts w:ascii="Times New Roman" w:eastAsia="Calibri" w:hAnsi="Times New Roman" w:cs="Times New Roman"/>
          <w:sz w:val="28"/>
          <w:szCs w:val="28"/>
        </w:rPr>
        <w:t>жилого ст</w:t>
      </w:r>
      <w:r w:rsidR="00EE6139">
        <w:rPr>
          <w:rFonts w:ascii="Times New Roman" w:eastAsia="Calibri" w:hAnsi="Times New Roman" w:cs="Times New Roman"/>
          <w:sz w:val="28"/>
          <w:szCs w:val="28"/>
        </w:rPr>
        <w:t>роительства</w:t>
      </w:r>
      <w:proofErr w:type="gramEnd"/>
      <w:r w:rsidR="00EE6139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городского округа</w:t>
      </w:r>
      <w:r w:rsidRPr="00C04B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5B3" w:rsidRPr="005855B3" w:rsidRDefault="005855B3" w:rsidP="006C7D23">
      <w:pPr>
        <w:spacing w:after="0" w:line="240" w:lineRule="auto"/>
        <w:ind w:left="-567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D23" w:rsidRDefault="00A164B8" w:rsidP="006C7D23">
      <w:pPr>
        <w:spacing w:line="240" w:lineRule="auto"/>
        <w:ind w:left="-567" w:right="-28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C65A20">
        <w:rPr>
          <w:rFonts w:ascii="Times New Roman" w:eastAsia="Calibri" w:hAnsi="Times New Roman" w:cs="Times New Roman"/>
          <w:sz w:val="28"/>
          <w:szCs w:val="28"/>
        </w:rPr>
        <w:t>7</w:t>
      </w: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B42C4" w:rsidRPr="00C15822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</w:t>
      </w:r>
    </w:p>
    <w:p w:rsidR="006C7D23" w:rsidRDefault="005D51E2" w:rsidP="00E372B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hAnsi="Times New Roman" w:cs="Times New Roman"/>
          <w:sz w:val="28"/>
          <w:szCs w:val="28"/>
        </w:rPr>
        <w:t>«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 </w:t>
      </w:r>
      <w:r w:rsidR="00E8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100 %.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</w:t>
      </w:r>
      <w:proofErr w:type="gram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 сообщаем, что из 16 управляющих компаний в городе Удомля, муниципальными предприятиями являются 3 компании:</w:t>
      </w:r>
      <w:proofErr w:type="gram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</w:t>
      </w:r>
      <w:proofErr w:type="spellStart"/>
      <w:r w:rsidR="00E372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E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«</w:t>
      </w:r>
      <w:proofErr w:type="spellStart"/>
      <w:r w:rsidR="00E372BD" w:rsidRPr="00E372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домельское</w:t>
      </w:r>
      <w:proofErr w:type="spellEnd"/>
      <w:r w:rsidR="00E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МУП «</w:t>
      </w:r>
      <w:proofErr w:type="spell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Удомельские</w:t>
      </w:r>
      <w:proofErr w:type="spell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 системы», МУП города Удомля «Городская электросеть». По плану на 201</w:t>
      </w:r>
      <w:r w:rsidR="00E372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372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планируе</w:t>
      </w:r>
      <w:r w:rsidR="003B5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такой же объем муниципальных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в общем объеме организаций коммунального комплекса.</w:t>
      </w:r>
    </w:p>
    <w:p w:rsidR="005D51E2" w:rsidRPr="006C7D23" w:rsidRDefault="005D51E2" w:rsidP="00E372B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</w:t>
      </w:r>
      <w:r w:rsidR="003B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</w:t>
      </w:r>
      <w:r w:rsidR="00E372BD">
        <w:rPr>
          <w:rFonts w:ascii="Times New Roman" w:eastAsia="Times New Roman" w:hAnsi="Times New Roman" w:cs="Times New Roman"/>
          <w:sz w:val="28"/>
          <w:szCs w:val="28"/>
          <w:lang w:eastAsia="ru-RU"/>
        </w:rPr>
        <w:t>5,70</w:t>
      </w:r>
      <w:r w:rsidR="003B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муниципальные субсидии для приобретения жилья для категории молодых семей, а также приобретены жилые помещения для категории многодетные семьи.</w:t>
      </w:r>
      <w:proofErr w:type="gramEnd"/>
    </w:p>
    <w:p w:rsidR="00B84622" w:rsidRPr="00453B0F" w:rsidRDefault="00B84622" w:rsidP="006C7D2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D23" w:rsidRDefault="004068CB" w:rsidP="006C7D23">
      <w:pPr>
        <w:spacing w:after="0" w:line="240" w:lineRule="auto"/>
        <w:ind w:left="-567" w:right="-28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1C5577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 Организация муниципального управления</w:t>
      </w:r>
    </w:p>
    <w:p w:rsidR="006C7D23" w:rsidRDefault="006C7D23" w:rsidP="006C7D23">
      <w:pPr>
        <w:spacing w:after="0" w:line="240" w:lineRule="auto"/>
        <w:ind w:left="-567" w:right="-28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7D23" w:rsidRDefault="00A17638" w:rsidP="006C7D2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eastAsia="Calibri" w:hAnsi="Times New Roman" w:cs="Times New Roman"/>
          <w:sz w:val="28"/>
          <w:szCs w:val="28"/>
        </w:rPr>
        <w:t>Доля налоговых и неналоговых доходов местного бюджета  в общем объеме собственных дох</w:t>
      </w:r>
      <w:r w:rsidR="001C5577">
        <w:rPr>
          <w:rFonts w:ascii="Times New Roman" w:eastAsia="Calibri" w:hAnsi="Times New Roman" w:cs="Times New Roman"/>
          <w:sz w:val="28"/>
          <w:szCs w:val="28"/>
        </w:rPr>
        <w:t>одов бюджета Удомельского городского округа</w:t>
      </w: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 расс</w:t>
      </w:r>
      <w:r w:rsidR="008D22F5">
        <w:rPr>
          <w:rFonts w:ascii="Times New Roman" w:eastAsia="Calibri" w:hAnsi="Times New Roman" w:cs="Times New Roman"/>
          <w:sz w:val="28"/>
          <w:szCs w:val="28"/>
        </w:rPr>
        <w:t xml:space="preserve">читывается на основании данных </w:t>
      </w:r>
      <w:r w:rsidR="00E631EF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  бюджета </w:t>
      </w:r>
      <w:proofErr w:type="spellStart"/>
      <w:r w:rsidRPr="00C15822">
        <w:rPr>
          <w:rFonts w:ascii="Times New Roman" w:eastAsia="Calibri" w:hAnsi="Times New Roman" w:cs="Times New Roman"/>
          <w:sz w:val="28"/>
          <w:szCs w:val="28"/>
        </w:rPr>
        <w:t>Удомельского</w:t>
      </w:r>
      <w:proofErr w:type="spellEnd"/>
      <w:r w:rsidR="00831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1EF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E631EF">
        <w:rPr>
          <w:rFonts w:ascii="Times New Roman" w:eastAsia="Calibri" w:hAnsi="Times New Roman" w:cs="Times New Roman"/>
          <w:sz w:val="28"/>
          <w:szCs w:val="28"/>
        </w:rPr>
        <w:t>7</w:t>
      </w: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 год, утвержденного решением </w:t>
      </w:r>
      <w:proofErr w:type="spellStart"/>
      <w:r w:rsidR="00E631EF" w:rsidRPr="00E631EF">
        <w:rPr>
          <w:rFonts w:ascii="Times New Roman" w:eastAsia="Calibri" w:hAnsi="Times New Roman" w:cs="Times New Roman"/>
          <w:sz w:val="28"/>
          <w:szCs w:val="28"/>
        </w:rPr>
        <w:t>Удомельской</w:t>
      </w:r>
      <w:proofErr w:type="spellEnd"/>
      <w:r w:rsidR="00E631EF" w:rsidRPr="00E631EF">
        <w:rPr>
          <w:rFonts w:ascii="Times New Roman" w:eastAsia="Calibri" w:hAnsi="Times New Roman" w:cs="Times New Roman"/>
          <w:sz w:val="28"/>
          <w:szCs w:val="28"/>
        </w:rPr>
        <w:t xml:space="preserve"> городской Думы</w:t>
      </w:r>
      <w:r w:rsidR="00831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7D2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3595B">
        <w:rPr>
          <w:rFonts w:ascii="Times New Roman" w:eastAsia="Calibri" w:hAnsi="Times New Roman" w:cs="Times New Roman"/>
          <w:sz w:val="28"/>
          <w:szCs w:val="28"/>
        </w:rPr>
        <w:t>121</w:t>
      </w:r>
      <w:r w:rsidR="006C7D23">
        <w:rPr>
          <w:rFonts w:ascii="Times New Roman" w:eastAsia="Calibri" w:hAnsi="Times New Roman" w:cs="Times New Roman"/>
          <w:sz w:val="28"/>
          <w:szCs w:val="28"/>
        </w:rPr>
        <w:t xml:space="preserve"> от 1</w:t>
      </w:r>
      <w:r w:rsidR="00E631EF">
        <w:rPr>
          <w:rFonts w:ascii="Times New Roman" w:eastAsia="Calibri" w:hAnsi="Times New Roman" w:cs="Times New Roman"/>
          <w:sz w:val="28"/>
          <w:szCs w:val="28"/>
        </w:rPr>
        <w:t>9</w:t>
      </w:r>
      <w:r w:rsidR="006C7D23">
        <w:rPr>
          <w:rFonts w:ascii="Times New Roman" w:eastAsia="Calibri" w:hAnsi="Times New Roman" w:cs="Times New Roman"/>
          <w:sz w:val="28"/>
          <w:szCs w:val="28"/>
        </w:rPr>
        <w:t>.12.201</w:t>
      </w:r>
      <w:r w:rsidR="00E631EF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6C7D2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C7D23" w:rsidRDefault="00A17638" w:rsidP="006C7D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увеличения налоговых и неналоговых доходов, и снижению задолженности по этим налогам были осущ</w:t>
      </w:r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ествлены следующие мероприятия:</w:t>
      </w:r>
    </w:p>
    <w:p w:rsidR="007D0C96" w:rsidRDefault="00A17638" w:rsidP="006C7D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Ежеквартальное проведение заседаний комиссии по укреплению налоговой и бюджетной дисциплины Адм</w:t>
      </w:r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</w:t>
      </w:r>
      <w:proofErr w:type="spellStart"/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83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D23" w:rsidRDefault="00A17638" w:rsidP="006C7D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B704D" w:rsidRPr="00EB70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Разработан и утвержден 30.03.2017 </w:t>
      </w:r>
      <w:r w:rsidR="00EB70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EB704D" w:rsidRPr="00EB70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мероприятий по развитию экономического и налогового потенциала </w:t>
      </w:r>
      <w:proofErr w:type="spellStart"/>
      <w:r w:rsidR="00EB704D" w:rsidRPr="00EB70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Удомельского</w:t>
      </w:r>
      <w:proofErr w:type="spellEnd"/>
      <w:r w:rsidR="00EB704D" w:rsidRPr="00EB70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 на 2017-2018 годы</w:t>
      </w:r>
      <w:r w:rsidR="00EB70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B704D" w:rsidRPr="00EB70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A4D55" w:rsidRPr="006C7D23" w:rsidRDefault="00A17638" w:rsidP="006C7D2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Ведется постоянный контроль по задолженности НДФЛ, основного налогового источника в доход бюджета муниципального образования.</w:t>
      </w:r>
    </w:p>
    <w:p w:rsidR="006C7D23" w:rsidRDefault="004A4D55" w:rsidP="006C7D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предприяти</w:t>
      </w:r>
      <w:r w:rsidR="00BF15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</w:t>
      </w:r>
      <w:r w:rsidR="00A61D1C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</w:t>
      </w:r>
      <w:proofErr w:type="spellStart"/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«</w:t>
      </w:r>
      <w:proofErr w:type="spellStart"/>
      <w:r w:rsidR="00A61D1C" w:rsidRPr="00E372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домельское</w:t>
      </w:r>
      <w:proofErr w:type="spellEnd"/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</w:t>
      </w:r>
      <w:r w:rsidR="00A61D1C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МУП «</w:t>
      </w:r>
      <w:proofErr w:type="spellStart"/>
      <w:r w:rsidR="00A61D1C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Удомельские</w:t>
      </w:r>
      <w:proofErr w:type="spellEnd"/>
      <w:r w:rsidR="00A61D1C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 системы», МУП города Удомля «Городская электросеть»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«Городской рынок», МУП </w:t>
      </w:r>
      <w:r w:rsidR="00A61D1C" w:rsidRP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«Новые традиции»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D1C" w:rsidRP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города Удомля «Русская баня»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C7D23" w:rsidRDefault="004A4D55" w:rsidP="006C7D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</w:t>
      </w:r>
      <w:proofErr w:type="spell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Райгорэнерго</w:t>
      </w:r>
      <w:proofErr w:type="spell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МП «</w:t>
      </w:r>
      <w:proofErr w:type="spell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Спецстоянка</w:t>
      </w:r>
      <w:proofErr w:type="spell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МП «Восход»</w:t>
      </w:r>
      <w:r w:rsidR="0083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ликвидированы в 2017 год</w:t>
      </w:r>
      <w:r w:rsidR="008314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Default="004A4D55" w:rsidP="006C7D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</w:t>
      </w:r>
      <w:r w:rsidR="00C15822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имости) составляет  </w:t>
      </w:r>
      <w:r w:rsidR="00921A3B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C7D23" w:rsidRDefault="00A17638" w:rsidP="006C7D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C1582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r w:rsidR="00531CE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составила 0,</w:t>
      </w:r>
      <w:r w:rsidR="007D0C9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13</w:t>
      </w:r>
      <w:r w:rsidR="00A61D1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%.</w:t>
      </w:r>
    </w:p>
    <w:p w:rsidR="006C7D23" w:rsidRDefault="00A17638" w:rsidP="006C7D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На момент принятия бюджет</w:t>
      </w:r>
      <w:r w:rsidR="006F76A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а </w:t>
      </w:r>
      <w:proofErr w:type="spellStart"/>
      <w:r w:rsidR="006F76A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Удомельского</w:t>
      </w:r>
      <w:proofErr w:type="spellEnd"/>
      <w:r w:rsidR="006F76A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городского округа</w:t>
      </w:r>
      <w:r w:rsidR="00C360B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на 01.01.</w:t>
      </w:r>
      <w:r w:rsidR="001F43A0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201</w:t>
      </w:r>
      <w:r w:rsidR="00D0211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7</w:t>
      </w:r>
      <w:r w:rsidRPr="00C1582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года просроченная к</w:t>
      </w:r>
      <w:r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редиторская задолженность учреждений </w:t>
      </w:r>
      <w:proofErr w:type="spellStart"/>
      <w:r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финансирующихся</w:t>
      </w:r>
      <w:proofErr w:type="spellEnd"/>
      <w:r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из </w:t>
      </w:r>
      <w:r w:rsidR="0090605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бюджета</w:t>
      </w:r>
      <w:r w:rsidR="00631C3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6F76A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Удомельского</w:t>
      </w:r>
      <w:proofErr w:type="spellEnd"/>
      <w:r w:rsidR="006F76A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городского округа</w:t>
      </w:r>
      <w:r w:rsidR="0090605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составляла –</w:t>
      </w:r>
      <w:r w:rsidR="00631C3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 79,</w:t>
      </w:r>
      <w:r w:rsidR="00315CE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1</w:t>
      </w:r>
      <w:r w:rsidR="00631C3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D02111" w:rsidRPr="00315CE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млн. рублей.</w:t>
      </w:r>
    </w:p>
    <w:p w:rsidR="00D02111" w:rsidRPr="00D02111" w:rsidRDefault="00D02111" w:rsidP="00D0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D0211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D0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течение 2017 года принимались меры для изыскания источников для погашения просроченной кредиторской задолженности и финансового оздоровления муниципального образования «</w:t>
      </w:r>
      <w:proofErr w:type="spellStart"/>
      <w:r w:rsidRPr="00D0211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Удомельский</w:t>
      </w:r>
      <w:proofErr w:type="spellEnd"/>
      <w:r w:rsidRPr="00D0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в целом.</w:t>
      </w:r>
    </w:p>
    <w:p w:rsidR="00D02111" w:rsidRPr="00D02111" w:rsidRDefault="00D02111" w:rsidP="00D02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целях осуществлены следующие мероприятия: </w:t>
      </w:r>
    </w:p>
    <w:p w:rsidR="00D02111" w:rsidRPr="00D02111" w:rsidRDefault="00D02111" w:rsidP="00D0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="0083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течение 2017 года оплачена кредиторская задолженность прошлых лет в сумме</w:t>
      </w:r>
      <w:r w:rsidR="0063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- 18,1 млн.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D0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3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источники погашения просроченной кредиторской задолженности - экономия средств от проведения конкурсных процедур и оптимизация расходов в муниципальных учреждениях. </w:t>
      </w:r>
    </w:p>
    <w:p w:rsidR="00D02111" w:rsidRPr="00D02111" w:rsidRDefault="00D02111" w:rsidP="00D0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021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удалось погасить</w:t>
      </w:r>
      <w:r w:rsidRPr="00D02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15% бюджетного кредита в сумме </w:t>
      </w:r>
      <w:r w:rsidRPr="00D0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7,1 млн. руб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лей</w:t>
      </w:r>
      <w:r w:rsidRPr="00D02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кредитному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договору на сумму 47,4 млн. рублей</w:t>
      </w:r>
      <w:r w:rsidRPr="00D02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сроку гашения 25.12.</w:t>
      </w:r>
      <w:r w:rsidR="00163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D02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17 </w:t>
      </w:r>
      <w:r w:rsidR="00163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D02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ставко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5,5% годовых или 2,6 млн. рублей</w:t>
      </w:r>
      <w:r w:rsidRPr="00D02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год за пользование бюджетным кредитом</w:t>
      </w:r>
      <w:r w:rsidR="00163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D02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оставшуюся часть бюджетног</w:t>
      </w:r>
      <w:r w:rsidR="00163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кредита в сумме 40,3 млн. рублей</w:t>
      </w:r>
      <w:r w:rsidRPr="00D02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оформлен новый кредитный договор на рефинансированиепо сроку гашения 25.12.2019 </w:t>
      </w:r>
      <w:r w:rsidR="00163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D02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ставкой</w:t>
      </w:r>
      <w:r w:rsidR="0063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63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0,1</w:t>
      </w:r>
      <w:proofErr w:type="gramEnd"/>
      <w:r w:rsidR="00163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годовых или 40,3 тыс. рублей</w:t>
      </w:r>
      <w:r w:rsidRPr="00D02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год за пользование бюджетным кредитом</w:t>
      </w:r>
      <w:r w:rsidR="00163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- </w:t>
      </w:r>
      <w:r w:rsidRPr="00D0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экономия составила 2,6 млн. руб</w:t>
      </w:r>
      <w:r w:rsidR="00163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лей</w:t>
      </w:r>
      <w:r w:rsidRPr="00D0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год</w:t>
      </w:r>
      <w:r w:rsidR="00163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7638" w:rsidRPr="006C7D23" w:rsidRDefault="00C15822" w:rsidP="006C7D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На  </w:t>
      </w:r>
      <w:r w:rsidR="0008335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конец</w:t>
      </w:r>
      <w:proofErr w:type="gramEnd"/>
      <w:r w:rsidR="0008335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201</w:t>
      </w:r>
      <w:r w:rsidR="006F76A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7</w:t>
      </w:r>
      <w:r w:rsidR="00A17638"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года </w:t>
      </w:r>
      <w:r w:rsidR="00A17638" w:rsidRPr="00C1582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просроченная к</w:t>
      </w:r>
      <w:r w:rsidR="00A17638" w:rsidRPr="00C15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редиторская з</w:t>
      </w:r>
      <w:r w:rsidR="00E57E4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адолженность составила – </w:t>
      </w:r>
      <w:r w:rsidR="00D02111" w:rsidRPr="00D0211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88,4</w:t>
      </w:r>
      <w:r w:rsidR="00A17638" w:rsidRPr="00D0211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млн. руб</w:t>
      </w:r>
      <w:r w:rsidR="00D0211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лей</w:t>
      </w:r>
      <w:r w:rsidR="00A17638" w:rsidRPr="00D0211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.</w:t>
      </w:r>
    </w:p>
    <w:p w:rsidR="00873B30" w:rsidRPr="00C04B4F" w:rsidRDefault="00873B30" w:rsidP="006C7D23">
      <w:pPr>
        <w:shd w:val="clear" w:color="auto" w:fill="FFFFFF"/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6C7D23" w:rsidRDefault="00873B30" w:rsidP="006C7D23">
      <w:pPr>
        <w:spacing w:after="0" w:line="240" w:lineRule="auto"/>
        <w:ind w:left="-426" w:right="-284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007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Энергосбережение и повышение энергетической эффективности</w:t>
      </w:r>
    </w:p>
    <w:p w:rsidR="006C7D23" w:rsidRDefault="006C7D23" w:rsidP="006C7D23">
      <w:pPr>
        <w:spacing w:after="0" w:line="240" w:lineRule="auto"/>
        <w:ind w:left="-426" w:right="-284" w:hanging="141"/>
        <w:jc w:val="center"/>
        <w:rPr>
          <w:rFonts w:ascii="Times New Roman" w:hAnsi="Times New Roman" w:cs="Times New Roman"/>
          <w:sz w:val="28"/>
          <w:szCs w:val="28"/>
        </w:rPr>
      </w:pPr>
    </w:p>
    <w:p w:rsidR="006C7D23" w:rsidRDefault="00015847" w:rsidP="006C7D2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Прогнозные показатели по разделу  энергосбережения и повышение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многоквартирных домах снижаются з</w:t>
      </w:r>
      <w:r w:rsidR="006D683A">
        <w:rPr>
          <w:rFonts w:ascii="Times New Roman" w:hAnsi="Times New Roman" w:cs="Times New Roman"/>
          <w:sz w:val="28"/>
          <w:szCs w:val="28"/>
        </w:rPr>
        <w:t>а счет  установки  жителями  при</w:t>
      </w:r>
      <w:r>
        <w:rPr>
          <w:rFonts w:ascii="Times New Roman" w:hAnsi="Times New Roman" w:cs="Times New Roman"/>
          <w:sz w:val="28"/>
          <w:szCs w:val="28"/>
        </w:rPr>
        <w:t xml:space="preserve">боров учета на потребление холодной и горячей воды. Потребление электрической энергии  остается  высоким показателемв </w:t>
      </w:r>
      <w:r w:rsidR="009F7EC9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>. В связи с тем, что в городе Удомля установлены в   многоквартирных домах электроплиты (удельный вес напольными электроплитами в городе  составляет 89,6%), растет количество бытовой техники у населения и общедомовые расходы по потреблению электроэнергии легли на плечи жильцов.</w:t>
      </w:r>
    </w:p>
    <w:p w:rsidR="00015847" w:rsidRDefault="00015847" w:rsidP="00BB7E4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Удельная величина потребления энергетических ресурсов муниципальными</w:t>
      </w:r>
      <w:r w:rsidR="00AC6BB2">
        <w:rPr>
          <w:rFonts w:ascii="Times New Roman" w:hAnsi="Times New Roman" w:cs="Times New Roman"/>
          <w:sz w:val="28"/>
          <w:szCs w:val="28"/>
        </w:rPr>
        <w:t xml:space="preserve"> бюджетными учреждениями в  201</w:t>
      </w:r>
      <w:r w:rsidR="009F7EC9">
        <w:rPr>
          <w:rFonts w:ascii="Times New Roman" w:hAnsi="Times New Roman" w:cs="Times New Roman"/>
          <w:sz w:val="28"/>
          <w:szCs w:val="28"/>
        </w:rPr>
        <w:t>7</w:t>
      </w:r>
      <w:r w:rsidR="00AC6BB2">
        <w:rPr>
          <w:rFonts w:ascii="Times New Roman" w:hAnsi="Times New Roman" w:cs="Times New Roman"/>
          <w:sz w:val="28"/>
          <w:szCs w:val="28"/>
        </w:rPr>
        <w:t xml:space="preserve"> году  по сравнению с 201</w:t>
      </w:r>
      <w:r w:rsidR="009F7E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годом снизилась за счет </w:t>
      </w:r>
      <w:r w:rsidR="009F7EC9">
        <w:rPr>
          <w:rFonts w:ascii="Times New Roman" w:hAnsi="Times New Roman" w:cs="Times New Roman"/>
          <w:sz w:val="28"/>
          <w:szCs w:val="28"/>
        </w:rPr>
        <w:t xml:space="preserve">продолжения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мероприятий </w:t>
      </w:r>
      <w:r w:rsidR="00BB7E4D">
        <w:rPr>
          <w:rFonts w:ascii="Times New Roman" w:hAnsi="Times New Roman" w:cs="Times New Roman"/>
          <w:sz w:val="28"/>
          <w:szCs w:val="28"/>
        </w:rPr>
        <w:t>по сбережению энергоресурсов (</w:t>
      </w:r>
      <w:r>
        <w:rPr>
          <w:rFonts w:ascii="Times New Roman" w:hAnsi="Times New Roman" w:cs="Times New Roman"/>
          <w:sz w:val="28"/>
          <w:szCs w:val="28"/>
        </w:rPr>
        <w:t>установ</w:t>
      </w:r>
      <w:r w:rsidR="00BB7E4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приборов учета тепловой энергии, приборов учета холодной и горячей воды), а так же   регулирования подачи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помещениях. Потребление электрической энергии в муниципальных учреждениях снизилось за счет  устан</w:t>
      </w:r>
      <w:r w:rsidR="00BB7E4D">
        <w:rPr>
          <w:rFonts w:ascii="Times New Roman" w:hAnsi="Times New Roman" w:cs="Times New Roman"/>
          <w:sz w:val="28"/>
          <w:szCs w:val="28"/>
        </w:rPr>
        <w:t xml:space="preserve">овки энергосберегающих приборов, </w:t>
      </w:r>
      <w:r w:rsidR="00BB7E4D" w:rsidRPr="00BB7E4D">
        <w:rPr>
          <w:rFonts w:ascii="Times New Roman" w:hAnsi="Times New Roman" w:cs="Times New Roman"/>
          <w:sz w:val="28"/>
          <w:szCs w:val="28"/>
        </w:rPr>
        <w:t>рационализаци</w:t>
      </w:r>
      <w:r w:rsidR="00BB7E4D">
        <w:rPr>
          <w:rFonts w:ascii="Times New Roman" w:hAnsi="Times New Roman" w:cs="Times New Roman"/>
          <w:sz w:val="28"/>
          <w:szCs w:val="28"/>
        </w:rPr>
        <w:t>и</w:t>
      </w:r>
      <w:r w:rsidR="00BB7E4D" w:rsidRPr="00BB7E4D">
        <w:rPr>
          <w:rFonts w:ascii="Times New Roman" w:hAnsi="Times New Roman" w:cs="Times New Roman"/>
          <w:sz w:val="28"/>
          <w:szCs w:val="28"/>
        </w:rPr>
        <w:t xml:space="preserve"> расположения источников света в помещениях</w:t>
      </w:r>
      <w:r w:rsidR="00BB7E4D">
        <w:rPr>
          <w:rFonts w:ascii="Times New Roman" w:hAnsi="Times New Roman" w:cs="Times New Roman"/>
          <w:sz w:val="28"/>
          <w:szCs w:val="28"/>
        </w:rPr>
        <w:t xml:space="preserve">, </w:t>
      </w:r>
      <w:r w:rsidR="00BB7E4D" w:rsidRPr="00BB7E4D">
        <w:rPr>
          <w:rFonts w:ascii="Times New Roman" w:hAnsi="Times New Roman" w:cs="Times New Roman"/>
          <w:sz w:val="28"/>
          <w:szCs w:val="28"/>
        </w:rPr>
        <w:t>использование датчиков присутствия людей в помещениях (особенно во вспомогательны</w:t>
      </w:r>
      <w:r w:rsidR="00BB7E4D">
        <w:rPr>
          <w:rFonts w:ascii="Times New Roman" w:hAnsi="Times New Roman" w:cs="Times New Roman"/>
          <w:sz w:val="28"/>
          <w:szCs w:val="28"/>
        </w:rPr>
        <w:t xml:space="preserve">х, складских и т.п. помещениях), </w:t>
      </w:r>
      <w:r w:rsidR="00BB7E4D" w:rsidRPr="00BB7E4D">
        <w:rPr>
          <w:rFonts w:ascii="Times New Roman" w:hAnsi="Times New Roman" w:cs="Times New Roman"/>
          <w:sz w:val="28"/>
          <w:szCs w:val="28"/>
        </w:rPr>
        <w:t>ремонт</w:t>
      </w:r>
      <w:r w:rsidR="00712577">
        <w:rPr>
          <w:rFonts w:ascii="Times New Roman" w:hAnsi="Times New Roman" w:cs="Times New Roman"/>
          <w:sz w:val="28"/>
          <w:szCs w:val="28"/>
        </w:rPr>
        <w:t>а</w:t>
      </w:r>
      <w:r w:rsidR="00BB7E4D" w:rsidRPr="00BB7E4D">
        <w:rPr>
          <w:rFonts w:ascii="Times New Roman" w:hAnsi="Times New Roman" w:cs="Times New Roman"/>
          <w:sz w:val="28"/>
          <w:szCs w:val="28"/>
        </w:rPr>
        <w:t xml:space="preserve"> и замен</w:t>
      </w:r>
      <w:r w:rsidR="00712577">
        <w:rPr>
          <w:rFonts w:ascii="Times New Roman" w:hAnsi="Times New Roman" w:cs="Times New Roman"/>
          <w:sz w:val="28"/>
          <w:szCs w:val="28"/>
        </w:rPr>
        <w:t>ы</w:t>
      </w:r>
      <w:r w:rsidR="00BB7E4D" w:rsidRPr="00BB7E4D">
        <w:rPr>
          <w:rFonts w:ascii="Times New Roman" w:hAnsi="Times New Roman" w:cs="Times New Roman"/>
          <w:sz w:val="28"/>
          <w:szCs w:val="28"/>
        </w:rPr>
        <w:t xml:space="preserve"> окон и дверей</w:t>
      </w:r>
      <w:r w:rsidR="00BB7E4D">
        <w:rPr>
          <w:rFonts w:ascii="Times New Roman" w:hAnsi="Times New Roman" w:cs="Times New Roman"/>
          <w:sz w:val="28"/>
          <w:szCs w:val="28"/>
        </w:rPr>
        <w:t>.</w:t>
      </w:r>
    </w:p>
    <w:p w:rsidR="001378E5" w:rsidRDefault="001378E5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C96" w:rsidRDefault="007D0C96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C96" w:rsidRDefault="007D0C96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C96" w:rsidRDefault="007D0C96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9C8" w:rsidRPr="00690A81" w:rsidRDefault="007979C8" w:rsidP="00797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A8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90A8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690A8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91200">
        <w:rPr>
          <w:rFonts w:ascii="Times New Roman" w:hAnsi="Times New Roman" w:cs="Times New Roman"/>
          <w:sz w:val="28"/>
          <w:szCs w:val="28"/>
        </w:rPr>
        <w:tab/>
      </w:r>
      <w:r w:rsidR="00091200">
        <w:rPr>
          <w:rFonts w:ascii="Times New Roman" w:hAnsi="Times New Roman" w:cs="Times New Roman"/>
          <w:sz w:val="28"/>
          <w:szCs w:val="28"/>
        </w:rPr>
        <w:tab/>
      </w:r>
      <w:r w:rsidR="00091200">
        <w:rPr>
          <w:rFonts w:ascii="Times New Roman" w:hAnsi="Times New Roman" w:cs="Times New Roman"/>
          <w:sz w:val="28"/>
          <w:szCs w:val="28"/>
        </w:rPr>
        <w:tab/>
      </w:r>
      <w:r w:rsidR="00091200">
        <w:rPr>
          <w:rFonts w:ascii="Times New Roman" w:hAnsi="Times New Roman" w:cs="Times New Roman"/>
          <w:sz w:val="28"/>
          <w:szCs w:val="28"/>
        </w:rPr>
        <w:tab/>
      </w:r>
      <w:r w:rsidR="00091200">
        <w:rPr>
          <w:rFonts w:ascii="Times New Roman" w:hAnsi="Times New Roman" w:cs="Times New Roman"/>
          <w:sz w:val="28"/>
          <w:szCs w:val="28"/>
        </w:rPr>
        <w:tab/>
      </w:r>
      <w:r w:rsidR="00091200">
        <w:rPr>
          <w:rFonts w:ascii="Times New Roman" w:hAnsi="Times New Roman" w:cs="Times New Roman"/>
          <w:sz w:val="28"/>
          <w:szCs w:val="28"/>
        </w:rPr>
        <w:tab/>
      </w:r>
      <w:r w:rsidRPr="00690A81">
        <w:rPr>
          <w:rFonts w:ascii="Times New Roman" w:hAnsi="Times New Roman" w:cs="Times New Roman"/>
          <w:sz w:val="28"/>
          <w:szCs w:val="28"/>
        </w:rPr>
        <w:t>Р.А. Рихтер</w:t>
      </w:r>
    </w:p>
    <w:p w:rsidR="00EA173C" w:rsidRDefault="00EA173C" w:rsidP="006C7D2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A173C" w:rsidRDefault="00EA173C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96ED5" w:rsidRDefault="00946249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Ксения Борисовна</w:t>
      </w:r>
    </w:p>
    <w:p w:rsidR="00453B0F" w:rsidRDefault="00E96ED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(848255)</w:t>
      </w:r>
      <w:r w:rsidR="00831421">
        <w:rPr>
          <w:rFonts w:ascii="Times New Roman" w:hAnsi="Times New Roman" w:cs="Times New Roman"/>
          <w:sz w:val="24"/>
          <w:szCs w:val="24"/>
        </w:rPr>
        <w:t xml:space="preserve"> </w:t>
      </w:r>
      <w:r w:rsidR="00946249">
        <w:rPr>
          <w:rFonts w:ascii="Times New Roman" w:hAnsi="Times New Roman" w:cs="Times New Roman"/>
          <w:sz w:val="24"/>
          <w:szCs w:val="24"/>
        </w:rPr>
        <w:t>5-46-7</w:t>
      </w:r>
      <w:r>
        <w:rPr>
          <w:rFonts w:ascii="Times New Roman" w:hAnsi="Times New Roman" w:cs="Times New Roman"/>
          <w:sz w:val="24"/>
          <w:szCs w:val="24"/>
        </w:rPr>
        <w:t>1</w:t>
      </w:r>
    </w:p>
    <w:sectPr w:rsidR="00453B0F" w:rsidSect="00421F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CB"/>
    <w:rsid w:val="00000BA8"/>
    <w:rsid w:val="00015847"/>
    <w:rsid w:val="00036D25"/>
    <w:rsid w:val="00042867"/>
    <w:rsid w:val="00057946"/>
    <w:rsid w:val="00083356"/>
    <w:rsid w:val="00091200"/>
    <w:rsid w:val="000943F7"/>
    <w:rsid w:val="000D32B3"/>
    <w:rsid w:val="000D7979"/>
    <w:rsid w:val="00106213"/>
    <w:rsid w:val="00123517"/>
    <w:rsid w:val="001378E5"/>
    <w:rsid w:val="001400C2"/>
    <w:rsid w:val="00142AD1"/>
    <w:rsid w:val="001431E5"/>
    <w:rsid w:val="0016367B"/>
    <w:rsid w:val="00166A6F"/>
    <w:rsid w:val="0017372C"/>
    <w:rsid w:val="00186F95"/>
    <w:rsid w:val="001937D0"/>
    <w:rsid w:val="00197782"/>
    <w:rsid w:val="001C2B0B"/>
    <w:rsid w:val="001C5577"/>
    <w:rsid w:val="001E6B26"/>
    <w:rsid w:val="001E7F52"/>
    <w:rsid w:val="001F2C9C"/>
    <w:rsid w:val="001F43A0"/>
    <w:rsid w:val="002007E0"/>
    <w:rsid w:val="00204C7B"/>
    <w:rsid w:val="00210542"/>
    <w:rsid w:val="0023148A"/>
    <w:rsid w:val="002420FB"/>
    <w:rsid w:val="00245F7F"/>
    <w:rsid w:val="002545BD"/>
    <w:rsid w:val="002705BE"/>
    <w:rsid w:val="00271916"/>
    <w:rsid w:val="00271DBC"/>
    <w:rsid w:val="00283469"/>
    <w:rsid w:val="002B54E2"/>
    <w:rsid w:val="002C168E"/>
    <w:rsid w:val="002D1167"/>
    <w:rsid w:val="002F374C"/>
    <w:rsid w:val="00313EB1"/>
    <w:rsid w:val="00315CEE"/>
    <w:rsid w:val="00334666"/>
    <w:rsid w:val="003368CC"/>
    <w:rsid w:val="0034044C"/>
    <w:rsid w:val="0034061A"/>
    <w:rsid w:val="00370E4C"/>
    <w:rsid w:val="003A3CC3"/>
    <w:rsid w:val="003B5B92"/>
    <w:rsid w:val="003F5CB6"/>
    <w:rsid w:val="003F60C0"/>
    <w:rsid w:val="00405DB0"/>
    <w:rsid w:val="004068CB"/>
    <w:rsid w:val="00406D4F"/>
    <w:rsid w:val="00410118"/>
    <w:rsid w:val="0041421A"/>
    <w:rsid w:val="00421FF3"/>
    <w:rsid w:val="004444EE"/>
    <w:rsid w:val="00450017"/>
    <w:rsid w:val="00453B0F"/>
    <w:rsid w:val="004636CF"/>
    <w:rsid w:val="00477E63"/>
    <w:rsid w:val="004A4D55"/>
    <w:rsid w:val="004A5805"/>
    <w:rsid w:val="004B0003"/>
    <w:rsid w:val="004B0F66"/>
    <w:rsid w:val="004C74D7"/>
    <w:rsid w:val="004D0997"/>
    <w:rsid w:val="004D5EA5"/>
    <w:rsid w:val="005057C9"/>
    <w:rsid w:val="00512F39"/>
    <w:rsid w:val="00530400"/>
    <w:rsid w:val="00531CE7"/>
    <w:rsid w:val="005855B3"/>
    <w:rsid w:val="005A2A79"/>
    <w:rsid w:val="005C7ACF"/>
    <w:rsid w:val="005D51E2"/>
    <w:rsid w:val="005F41D1"/>
    <w:rsid w:val="005F5B06"/>
    <w:rsid w:val="006103BA"/>
    <w:rsid w:val="00631C36"/>
    <w:rsid w:val="00696DCE"/>
    <w:rsid w:val="006A05F1"/>
    <w:rsid w:val="006A09EE"/>
    <w:rsid w:val="006A131E"/>
    <w:rsid w:val="006C7D23"/>
    <w:rsid w:val="006D683A"/>
    <w:rsid w:val="006F4904"/>
    <w:rsid w:val="006F76A7"/>
    <w:rsid w:val="007116EE"/>
    <w:rsid w:val="0071242D"/>
    <w:rsid w:val="00712577"/>
    <w:rsid w:val="0073333F"/>
    <w:rsid w:val="007501DD"/>
    <w:rsid w:val="007620FC"/>
    <w:rsid w:val="007623C8"/>
    <w:rsid w:val="00771882"/>
    <w:rsid w:val="0077623C"/>
    <w:rsid w:val="0079092D"/>
    <w:rsid w:val="007979C8"/>
    <w:rsid w:val="007B05BD"/>
    <w:rsid w:val="007C4C89"/>
    <w:rsid w:val="007C7B00"/>
    <w:rsid w:val="007D0C96"/>
    <w:rsid w:val="007E106A"/>
    <w:rsid w:val="00821393"/>
    <w:rsid w:val="00823724"/>
    <w:rsid w:val="00823BFD"/>
    <w:rsid w:val="00831421"/>
    <w:rsid w:val="0083595B"/>
    <w:rsid w:val="00854083"/>
    <w:rsid w:val="00862778"/>
    <w:rsid w:val="00873B30"/>
    <w:rsid w:val="0087403B"/>
    <w:rsid w:val="0088459D"/>
    <w:rsid w:val="008B42C4"/>
    <w:rsid w:val="008C25E9"/>
    <w:rsid w:val="008D22F5"/>
    <w:rsid w:val="008D4E71"/>
    <w:rsid w:val="008F20D0"/>
    <w:rsid w:val="008F5A5C"/>
    <w:rsid w:val="00906056"/>
    <w:rsid w:val="00921A3B"/>
    <w:rsid w:val="009347D4"/>
    <w:rsid w:val="00946249"/>
    <w:rsid w:val="00956B4E"/>
    <w:rsid w:val="00963043"/>
    <w:rsid w:val="0097289C"/>
    <w:rsid w:val="009744B5"/>
    <w:rsid w:val="009815EE"/>
    <w:rsid w:val="0098482B"/>
    <w:rsid w:val="009870E4"/>
    <w:rsid w:val="009D3B8E"/>
    <w:rsid w:val="009D597F"/>
    <w:rsid w:val="009E1F5B"/>
    <w:rsid w:val="009F7EC9"/>
    <w:rsid w:val="00A10020"/>
    <w:rsid w:val="00A135EC"/>
    <w:rsid w:val="00A154E7"/>
    <w:rsid w:val="00A164B8"/>
    <w:rsid w:val="00A17638"/>
    <w:rsid w:val="00A2629B"/>
    <w:rsid w:val="00A32163"/>
    <w:rsid w:val="00A40BB1"/>
    <w:rsid w:val="00A45FE0"/>
    <w:rsid w:val="00A54331"/>
    <w:rsid w:val="00A61D1C"/>
    <w:rsid w:val="00A668C1"/>
    <w:rsid w:val="00A73BE4"/>
    <w:rsid w:val="00A75201"/>
    <w:rsid w:val="00A82898"/>
    <w:rsid w:val="00AC5495"/>
    <w:rsid w:val="00AC6BB2"/>
    <w:rsid w:val="00AF0BC4"/>
    <w:rsid w:val="00B111CD"/>
    <w:rsid w:val="00B21B7F"/>
    <w:rsid w:val="00B30BFD"/>
    <w:rsid w:val="00B4012F"/>
    <w:rsid w:val="00B401B1"/>
    <w:rsid w:val="00B456F2"/>
    <w:rsid w:val="00B52A26"/>
    <w:rsid w:val="00B57454"/>
    <w:rsid w:val="00B57B50"/>
    <w:rsid w:val="00B60343"/>
    <w:rsid w:val="00B73A06"/>
    <w:rsid w:val="00B84622"/>
    <w:rsid w:val="00BB7E4D"/>
    <w:rsid w:val="00BD7AC8"/>
    <w:rsid w:val="00BE5355"/>
    <w:rsid w:val="00BF151C"/>
    <w:rsid w:val="00C019C2"/>
    <w:rsid w:val="00C04B4F"/>
    <w:rsid w:val="00C15822"/>
    <w:rsid w:val="00C360B6"/>
    <w:rsid w:val="00C65A20"/>
    <w:rsid w:val="00C753A0"/>
    <w:rsid w:val="00C96B4A"/>
    <w:rsid w:val="00CD031C"/>
    <w:rsid w:val="00CD3C0C"/>
    <w:rsid w:val="00CF4520"/>
    <w:rsid w:val="00CF7805"/>
    <w:rsid w:val="00D02111"/>
    <w:rsid w:val="00D1597D"/>
    <w:rsid w:val="00D22B02"/>
    <w:rsid w:val="00D45AA4"/>
    <w:rsid w:val="00D8159A"/>
    <w:rsid w:val="00D97EE4"/>
    <w:rsid w:val="00DA4C70"/>
    <w:rsid w:val="00DC3DA7"/>
    <w:rsid w:val="00DE4F8D"/>
    <w:rsid w:val="00E2473D"/>
    <w:rsid w:val="00E31315"/>
    <w:rsid w:val="00E372BD"/>
    <w:rsid w:val="00E508E1"/>
    <w:rsid w:val="00E57E45"/>
    <w:rsid w:val="00E631EF"/>
    <w:rsid w:val="00E704C2"/>
    <w:rsid w:val="00E8343D"/>
    <w:rsid w:val="00E86B0A"/>
    <w:rsid w:val="00E96ED5"/>
    <w:rsid w:val="00EA173C"/>
    <w:rsid w:val="00EA3C1F"/>
    <w:rsid w:val="00EB1B97"/>
    <w:rsid w:val="00EB5C83"/>
    <w:rsid w:val="00EB704D"/>
    <w:rsid w:val="00EB7977"/>
    <w:rsid w:val="00EE5C6D"/>
    <w:rsid w:val="00EE6139"/>
    <w:rsid w:val="00F00BC9"/>
    <w:rsid w:val="00F056BC"/>
    <w:rsid w:val="00F641AC"/>
    <w:rsid w:val="00FA6ECB"/>
    <w:rsid w:val="00FC7F6E"/>
    <w:rsid w:val="00FF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7AC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C7A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7AC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C7A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1F2A-B2AE-4F9C-9FF6-9EC7ED1E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Большакова</dc:creator>
  <cp:lastModifiedBy>Елена А. Кочеткова</cp:lastModifiedBy>
  <cp:revision>6</cp:revision>
  <cp:lastPrinted>2018-08-20T05:56:00Z</cp:lastPrinted>
  <dcterms:created xsi:type="dcterms:W3CDTF">2018-08-17T11:32:00Z</dcterms:created>
  <dcterms:modified xsi:type="dcterms:W3CDTF">2018-08-20T06:01:00Z</dcterms:modified>
</cp:coreProperties>
</file>